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4F52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B425745" w14:textId="1223A5F5" w:rsidR="000A74CB" w:rsidRPr="00E04F52" w:rsidRDefault="000A74CB" w:rsidP="000A74CB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4F52">
              <w:rPr>
                <w:rFonts w:asciiTheme="majorHAnsi" w:hAnsiTheme="majorHAnsi"/>
                <w:b/>
                <w:sz w:val="20"/>
                <w:szCs w:val="20"/>
              </w:rPr>
              <w:t xml:space="preserve">COMISSÃO ESPECIAL DE ASSISTÊNCIA TÉCNICA PARA HABITAÇÃO DE INTERESSE SOCIAL </w:t>
            </w:r>
          </w:p>
          <w:p w14:paraId="72747B13" w14:textId="2342F1FC" w:rsidR="002A57A5" w:rsidRPr="00E04F52" w:rsidRDefault="007958C6" w:rsidP="000A74CB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SÚMULA DA </w:t>
            </w:r>
            <w:r w:rsidR="000A74CB" w:rsidRPr="00E04F5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4</w:t>
            </w:r>
            <w:r w:rsidR="00EC6B57" w:rsidRPr="00E04F5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9</w:t>
            </w:r>
            <w:r w:rsidRPr="00E04F5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ª REUNIÃO </w:t>
            </w:r>
            <w:r w:rsidR="00332061" w:rsidRPr="00E04F5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ORDINÁRIA </w:t>
            </w:r>
          </w:p>
        </w:tc>
      </w:tr>
      <w:tr w:rsidR="002A57A5" w:rsidRPr="00E04F52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E04F52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A57A5" w:rsidRPr="00E04F52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E04F52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LOCAL E DATA:</w:t>
            </w:r>
          </w:p>
        </w:tc>
      </w:tr>
      <w:tr w:rsidR="002A57A5" w:rsidRPr="00E04F52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E04F52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911F5E5" w:rsidR="002A57A5" w:rsidRPr="00E04F52" w:rsidRDefault="000A74CB" w:rsidP="000A74CB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0</w:t>
            </w:r>
            <w:r w:rsidR="00EC6B57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8</w:t>
            </w:r>
            <w:r w:rsidR="00332061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 </w:t>
            </w:r>
            <w:r w:rsidR="00EC6B57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maio</w:t>
            </w:r>
            <w:r w:rsidR="00332061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 </w:t>
            </w: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2023</w:t>
            </w:r>
          </w:p>
        </w:tc>
      </w:tr>
      <w:tr w:rsidR="002A57A5" w:rsidRPr="00E04F52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E04F52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03C255E" w:rsidR="002A57A5" w:rsidRPr="00E04F52" w:rsidRDefault="000A74C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R</w:t>
            </w:r>
            <w:r w:rsidR="007958C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eunião realizada em ambiente virtual, através de videoconferência</w:t>
            </w:r>
          </w:p>
        </w:tc>
      </w:tr>
      <w:tr w:rsidR="002A57A5" w:rsidRPr="00E04F52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04F52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5097363" w:rsidR="002A57A5" w:rsidRPr="00E04F52" w:rsidRDefault="000A74CB" w:rsidP="003320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Convocação: 09h30min – 12h00min</w:t>
            </w:r>
          </w:p>
        </w:tc>
      </w:tr>
      <w:tr w:rsidR="002A57A5" w:rsidRPr="00E04F52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E04F52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C6B57" w:rsidRPr="00E04F52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E04F52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EC6B57" w:rsidRPr="00E04F52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E04F52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6C3FD54" w:rsidR="000B24B8" w:rsidRPr="00E04F52" w:rsidRDefault="00B336D1" w:rsidP="00332061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14A582F2" w:rsidR="000B24B8" w:rsidRPr="00E04F52" w:rsidRDefault="00080F55" w:rsidP="00B336D1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Coord. </w:t>
            </w:r>
            <w:proofErr w:type="gramStart"/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Comissão</w:t>
            </w:r>
          </w:p>
        </w:tc>
      </w:tr>
      <w:tr w:rsidR="00EC6B57" w:rsidRPr="00E04F52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E04F52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23301AF" w:rsidR="000747FA" w:rsidRPr="00E04F52" w:rsidRDefault="001173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778AED96" w:rsidR="000747FA" w:rsidRPr="00E04F52" w:rsidRDefault="002B1688" w:rsidP="00F8363E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Coord. Adjunto da Comissão</w:t>
            </w:r>
          </w:p>
        </w:tc>
      </w:tr>
      <w:tr w:rsidR="00EC6B57" w:rsidRPr="00E04F52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E04F52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75D7351" w:rsidR="000747FA" w:rsidRPr="00E04F52" w:rsidRDefault="007E6E3C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Claudia Bernadeth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2E4762F0" w:rsidR="000747FA" w:rsidRPr="00E04F52" w:rsidRDefault="000747FA" w:rsidP="00043280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7E6E3C"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Suplente</w:t>
            </w:r>
          </w:p>
        </w:tc>
      </w:tr>
      <w:tr w:rsidR="00EC6B57" w:rsidRPr="00E04F52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E04F52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1018751" w:rsidR="000747FA" w:rsidRPr="00E04F52" w:rsidRDefault="00B336D1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Felipe </w:t>
            </w:r>
            <w:proofErr w:type="spellStart"/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Colmanetti</w:t>
            </w:r>
            <w:proofErr w:type="spellEnd"/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5A46EA61" w:rsidR="000747FA" w:rsidRPr="00E04F52" w:rsidRDefault="002B1688" w:rsidP="002B1688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Membro </w:t>
            </w:r>
            <w:proofErr w:type="spellStart"/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tITULAR</w:t>
            </w:r>
            <w:proofErr w:type="spellEnd"/>
          </w:p>
        </w:tc>
      </w:tr>
      <w:tr w:rsidR="00EC6B57" w:rsidRPr="00E04F52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E04F52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EB5C75B" w:rsidR="00A71DBF" w:rsidRPr="00E04F52" w:rsidRDefault="008148C0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Diogo U. Braga – Assessor CATHIS-CAU/MG</w:t>
            </w:r>
          </w:p>
        </w:tc>
      </w:tr>
      <w:tr w:rsidR="00EC6B57" w:rsidRPr="00E04F52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E04F52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C6B57" w:rsidRPr="00E04F52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E04F52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EC6B57" w:rsidRPr="00E04F52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5D5539A" w:rsidR="00A71DBF" w:rsidRPr="00E04F52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Verificação de quórum</w:t>
            </w:r>
            <w:r w:rsidR="008148C0"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4A5370F8" w14:textId="77777777" w:rsidR="008148C0" w:rsidRPr="00E04F52" w:rsidRDefault="008148C0" w:rsidP="008148C0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7E21C9A9" w14:textId="77777777" w:rsidR="008148C0" w:rsidRPr="00E04F52" w:rsidRDefault="008148C0" w:rsidP="008148C0">
            <w:pPr>
              <w:spacing w:line="360" w:lineRule="auto"/>
              <w:ind w:firstLine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a) Do Coordenador;</w:t>
            </w:r>
          </w:p>
          <w:p w14:paraId="4FCFB24A" w14:textId="77777777" w:rsidR="008148C0" w:rsidRPr="00E04F52" w:rsidRDefault="008148C0" w:rsidP="008148C0">
            <w:pPr>
              <w:spacing w:line="360" w:lineRule="auto"/>
              <w:ind w:firstLine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b) Dos</w:t>
            </w:r>
            <w:proofErr w:type="gram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membros da Comissão;</w:t>
            </w:r>
          </w:p>
          <w:p w14:paraId="3FF38B2F" w14:textId="38C2D091" w:rsidR="008148C0" w:rsidRPr="00E04F52" w:rsidRDefault="008148C0" w:rsidP="000A48E4">
            <w:pPr>
              <w:pStyle w:val="PargrafodaLista"/>
              <w:numPr>
                <w:ilvl w:val="0"/>
                <w:numId w:val="27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anterior</w:t>
            </w:r>
          </w:p>
        </w:tc>
      </w:tr>
      <w:tr w:rsidR="00EC6B57" w:rsidRPr="00E04F52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E04F52" w:rsidRDefault="00A71DBF" w:rsidP="00332061">
            <w:pPr>
              <w:spacing w:line="360" w:lineRule="auto"/>
              <w:jc w:val="both"/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Ordem do Dia:</w:t>
            </w:r>
          </w:p>
          <w:p w14:paraId="668FE4D6" w14:textId="77777777" w:rsidR="000A48E4" w:rsidRPr="00E04F52" w:rsidRDefault="000A48E4" w:rsidP="000A48E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CATHIS-CAU/MG;</w:t>
            </w:r>
          </w:p>
          <w:p w14:paraId="394ACDD1" w14:textId="77777777" w:rsidR="000A48E4" w:rsidRPr="00E04F52" w:rsidRDefault="000A48E4" w:rsidP="000A48E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Apreciação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do e-mail da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Gerência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de Fiscalização,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referente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uma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assistência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pública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gratuita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projeto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a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construção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habitação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interesse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social (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n° 1668149/2023). </w:t>
            </w:r>
          </w:p>
          <w:p w14:paraId="4FB27B09" w14:textId="11F17D33" w:rsidR="00A71DBF" w:rsidRPr="00E04F52" w:rsidRDefault="000A48E4" w:rsidP="000A48E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Athis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2023. (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n° 1709285/2023).</w:t>
            </w:r>
          </w:p>
        </w:tc>
      </w:tr>
      <w:tr w:rsidR="00A71DBF" w:rsidRPr="00E04F52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1D59071D" w:rsidR="00A71DBF" w:rsidRPr="00E04F52" w:rsidRDefault="00A71DBF" w:rsidP="0098387E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Encerramento</w:t>
            </w:r>
            <w:r w:rsidR="008148C0"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A5237B4" w14:textId="7B72B248" w:rsidR="008C6AF6" w:rsidRPr="00E04F52" w:rsidRDefault="008C6AF6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A2E70AF" w14:textId="62A5E594" w:rsidR="008148C0" w:rsidRPr="00E04F52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11655049" w14:textId="76C5BB1C" w:rsidR="008148C0" w:rsidRPr="00E04F52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1A81A83C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0D1EAC91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5B7D8EDF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52173386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46ABE084" w14:textId="77777777" w:rsidR="00A031A9" w:rsidRPr="00E04F52" w:rsidRDefault="00A031A9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A7A4A4C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38C7E0AD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BA005C2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25961160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605C052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5C541444" w14:textId="77777777" w:rsidR="000A48E4" w:rsidRPr="00E04F52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1AA82306" w14:textId="42BA8BE3" w:rsidR="008148C0" w:rsidRPr="00E04F52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09956301" w14:textId="77777777" w:rsidR="00604528" w:rsidRPr="00E04F52" w:rsidRDefault="00604528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252A9AB7" w14:textId="6E7E30D3" w:rsidR="008148C0" w:rsidRPr="00E04F52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A240064" w14:textId="77777777" w:rsidR="008148C0" w:rsidRPr="00E04F52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EC6B57" w:rsidRPr="00E04F52" w14:paraId="6C3E6109" w14:textId="77777777" w:rsidTr="00B61B96">
        <w:trPr>
          <w:trHeight w:val="330"/>
          <w:jc w:val="center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E04F52" w:rsidRDefault="008724F5" w:rsidP="008724F5">
            <w:pPr>
              <w:spacing w:line="25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="00EC6B57" w:rsidRPr="00E04F52" w14:paraId="5A14CBF7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E04F52" w:rsidRDefault="008724F5" w:rsidP="008724F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C6B57" w:rsidRPr="00E04F52" w14:paraId="0999D02C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E04F52" w:rsidRDefault="008C6AF6" w:rsidP="008C6AF6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EC6B57" w:rsidRPr="00E04F52" w14:paraId="3654850E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52295BC5" w14:textId="311CE607" w:rsidR="007E6E3C" w:rsidRPr="00E04F52" w:rsidRDefault="003A213D" w:rsidP="007E6E3C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Foi verificado o quórum às </w:t>
            </w:r>
            <w:proofErr w:type="gramStart"/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09h</w:t>
            </w:r>
            <w:r w:rsidR="00A63A45"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40</w:t>
            </w: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min</w:t>
            </w:r>
            <w:r w:rsidR="00A63A45"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E6E3C"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Com</w:t>
            </w:r>
            <w:proofErr w:type="gramEnd"/>
            <w:r w:rsidR="007E6E3C"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a presença dos Conselheiros titulares Rosilene Guedes Souza,</w:t>
            </w:r>
          </w:p>
          <w:p w14:paraId="77D80C15" w14:textId="1ED3554B" w:rsidR="00332061" w:rsidRPr="00E04F52" w:rsidRDefault="007E6E3C" w:rsidP="007E6E3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Lucas Lima Leonel Fonseca e Felipe </w:t>
            </w:r>
            <w:proofErr w:type="spellStart"/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Colmanetti</w:t>
            </w:r>
            <w:proofErr w:type="spellEnd"/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Moura. Às 11h00min ingressou a Conselheira suplente Claudia Bernadeth Ribeiro.</w:t>
            </w:r>
          </w:p>
        </w:tc>
      </w:tr>
      <w:tr w:rsidR="00F068EA" w:rsidRPr="00E04F52" w14:paraId="1871F0BB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6C3555F8" w:rsidR="00F068EA" w:rsidRPr="00E04F52" w:rsidRDefault="00F068EA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F068EA" w:rsidRPr="00E04F52" w14:paraId="6464EE6B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2B771244" w:rsidR="00F068EA" w:rsidRPr="00E04F52" w:rsidRDefault="00F068EA" w:rsidP="00F068EA">
            <w:pPr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Comunicados:</w:t>
            </w:r>
          </w:p>
        </w:tc>
      </w:tr>
      <w:tr w:rsidR="00F068EA" w:rsidRPr="00E04F52" w14:paraId="5D43531B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D61538" w14:textId="72AC79A3" w:rsidR="00F068EA" w:rsidRPr="00E04F52" w:rsidRDefault="00F068EA" w:rsidP="00F1744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Coordenador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14:paraId="15C99D83" w14:textId="2B7A3BC0" w:rsidR="00B86FE3" w:rsidRPr="00E04F52" w:rsidRDefault="00A63A45" w:rsidP="00F1744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coordenadora comunicou que o Edital já foi publicado e que a CATHIS estará na AMM nos dias 09 e 10 de maio de 2023. </w:t>
            </w:r>
          </w:p>
          <w:p w14:paraId="63F8E600" w14:textId="77777777" w:rsidR="00F068EA" w:rsidRPr="00E04F52" w:rsidRDefault="00F068EA" w:rsidP="00F17441">
            <w:pPr>
              <w:spacing w:line="360" w:lineRule="auto"/>
              <w:ind w:firstLine="284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b) Dos</w:t>
            </w:r>
            <w:proofErr w:type="gram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membros da Comissão;</w:t>
            </w:r>
          </w:p>
          <w:p w14:paraId="063AABEB" w14:textId="667CC30A" w:rsidR="00D56503" w:rsidRPr="00E04F52" w:rsidRDefault="00B86FE3" w:rsidP="00F17441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Retorno do </w:t>
            </w: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Lucas Lima Leonel Fonseca sobre sua participação como representante da CATHIS-CAU/MG no Fórum CAU/PR de ATHIS - Assistência Técnica para Habitação de Interesse Social como política pública,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realizado nos dias 18 a 20 de abril de 2023.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 Conselheiro Lucas relatou q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ue apresentou o Plano de Ação da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CATHIS-CAU/MG para o colegiado, destacando o pouco tempo para exposição. Disse que foram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abordados os temas de REURB e dificuldades no 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financiamento 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das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ações de ATHIS. Disse que os demais CAU</w:t>
            </w:r>
            <w:r w:rsidR="00C36C28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C36C28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UFs</w:t>
            </w:r>
            <w:proofErr w:type="spellEnd"/>
            <w:r w:rsidR="00C36C28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explicitaram sobre suas ações. Disse que foi abordad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ideia de um repositório de ações de ATHIS em um site nacional do CAU/BR. Destacou a ação do CAU/RJ no sentido de publicizar seu Edital de ATHIS nos ônibus urbanos. </w:t>
            </w:r>
            <w:r w:rsidR="00C36C28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Disse que entende a necessidade de melhorias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/adaptações</w:t>
            </w:r>
            <w:r w:rsidR="00C36C28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na apresentação padrão da ATHIS, posto que a o arquivo existente é demasiadamente extenso. 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Disse que é necessário incluir os projetos contemplados pelo edital de 2022. </w:t>
            </w:r>
            <w:r w:rsidR="00D04EBA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Sugeriu dividir </w:t>
            </w:r>
            <w:r w:rsidR="00D56503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quantificar </w:t>
            </w:r>
            <w:r w:rsidR="00D04EBA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 premiações em temas. </w:t>
            </w:r>
            <w:r w:rsidR="00C36C28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 Conselheiro Felipe opinou informando a necessidade de duas apresentações: uma para leigos e outra para arquitetos e urbanistas. </w:t>
            </w:r>
            <w:r w:rsidR="00A63A45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D04EBA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 Assessor Diogo destacou, por conta da fala do Conselheiro Lucas, 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também </w:t>
            </w:r>
            <w:r w:rsidR="00D04EBA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necessidade de uma apresentação resumida para o público não leigo. </w:t>
            </w:r>
            <w:r w:rsidR="00D56503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 Conselheiro Felipe disse que para a apresentação para leigos mais extensa, deve-se incluir informações sobre o que é o arquiteto e suas atribuições. </w:t>
            </w:r>
            <w:r w:rsidR="00D0553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 Assessor Diogo disse que trabalhará nessa demanda e apresentará resultados na próxima reunião ordinária da ATHIS-CAU/MG.</w:t>
            </w:r>
          </w:p>
          <w:p w14:paraId="4788AF40" w14:textId="77777777" w:rsidR="00C73A31" w:rsidRPr="00E04F52" w:rsidRDefault="00C73A31" w:rsidP="00F17441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5AFB7B" w14:textId="2F1DC651" w:rsidR="00C73A31" w:rsidRPr="00E04F52" w:rsidRDefault="003942AC" w:rsidP="00F17441">
            <w:pPr>
              <w:pStyle w:val="PargrafodaLista"/>
              <w:numPr>
                <w:ilvl w:val="0"/>
                <w:numId w:val="33"/>
              </w:numPr>
              <w:suppressLineNumbers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Assessor Diogo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destacou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necessidade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90586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="00B90586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manifestação</w:t>
            </w:r>
            <w:proofErr w:type="spellEnd"/>
            <w:r w:rsidR="00B90586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formal no </w:t>
            </w:r>
            <w:proofErr w:type="spellStart"/>
            <w:r w:rsidR="00B90586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sentido</w:t>
            </w:r>
            <w:proofErr w:type="spellEnd"/>
            <w:r w:rsidR="00B90586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B90586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</w:t>
            </w:r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lterar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convocação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reuniões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da CATHIS-CAU/MG para as </w:t>
            </w:r>
            <w:proofErr w:type="spellStart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mesmas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datas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no </w:t>
            </w:r>
            <w:proofErr w:type="spellStart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entanto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com o </w:t>
            </w:r>
            <w:proofErr w:type="spellStart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horário</w:t>
            </w:r>
            <w:proofErr w:type="spellEnd"/>
            <w:r w:rsidR="00C73A31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C73A31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09h30min – 12h00min</w:t>
            </w:r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tendo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em vista o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compartilhamento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da Assessoria. </w:t>
            </w:r>
            <w:bookmarkStart w:id="0" w:name="_GoBack"/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Os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conselheiros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questionaram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se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não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seria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melhor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marcar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para outro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dia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inteiro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considerando</w:t>
            </w:r>
            <w:proofErr w:type="spellEnd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a </w:t>
            </w:r>
            <w:proofErr w:type="spellStart"/>
            <w:r w:rsidR="00B90586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possibilid</w:t>
            </w:r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ade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das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reuniões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se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estenderem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eventualmente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para o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período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da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tarde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. </w:t>
            </w:r>
            <w:bookmarkEnd w:id="0"/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Não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houve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definição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posto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que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ficou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decidido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que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assunto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seria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discutido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com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os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Conselheiros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>integrantes</w:t>
            </w:r>
            <w:proofErr w:type="spellEnd"/>
            <w:r w:rsidR="008B30AD" w:rsidRPr="00E04F5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da CPUA-CAU/MG. </w:t>
            </w:r>
          </w:p>
          <w:p w14:paraId="6733DE5E" w14:textId="71C5369B" w:rsidR="004C2324" w:rsidRPr="00E04F52" w:rsidRDefault="008B30AD" w:rsidP="00F17441">
            <w:pPr>
              <w:pStyle w:val="PargrafodaLista"/>
              <w:numPr>
                <w:ilvl w:val="0"/>
                <w:numId w:val="33"/>
              </w:num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Assessor Diogo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informou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que,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conta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vedação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uso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Pessoal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pelos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funcionários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pode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ser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contatado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maneira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mais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célere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aplicativo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programa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teams que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possui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fucionalidade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similar,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podendo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ser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utilizado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inclusive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aplicativo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celular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5085FFCA" w14:textId="66CD6697" w:rsidR="00B836CC" w:rsidRPr="00E04F52" w:rsidRDefault="00235535" w:rsidP="00F17441">
            <w:pPr>
              <w:pStyle w:val="PargrafodaLista"/>
              <w:numPr>
                <w:ilvl w:val="0"/>
                <w:numId w:val="33"/>
              </w:num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apresentado e-mail de novo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contato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da Coordenadoria de Gestão das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Extensão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IFMG no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05/05/2023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solicitando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marcar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convênio</w:t>
            </w:r>
            <w:proofErr w:type="spell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com o IFMG.</w:t>
            </w:r>
          </w:p>
          <w:p w14:paraId="5DB754F6" w14:textId="251FFDB4" w:rsidR="00B836CC" w:rsidRPr="00E04F52" w:rsidRDefault="00B836CC" w:rsidP="00D77CC3">
            <w:pPr>
              <w:suppressLineNumbers/>
              <w:ind w:left="284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57051" w:rsidRPr="00E04F52" w14:paraId="317EAB8A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F8498" w14:textId="77777777" w:rsidR="00C57051" w:rsidRPr="00E04F52" w:rsidRDefault="00C57051" w:rsidP="001104D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57051" w:rsidRPr="00E04F52" w14:paraId="61F8BFD9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8B52" w14:textId="45373BCA" w:rsidR="00C57051" w:rsidRPr="00E04F52" w:rsidRDefault="00C57051" w:rsidP="00C57051">
            <w:pPr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Aprovação de documentos da reunião anterior</w:t>
            </w:r>
          </w:p>
        </w:tc>
      </w:tr>
      <w:tr w:rsidR="00C57051" w:rsidRPr="00E04F52" w14:paraId="7B67F50B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C0B5FD3" w14:textId="39E71147" w:rsidR="00C57051" w:rsidRPr="00E04F52" w:rsidRDefault="00C57051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Os documentos emitidos na 48ª reunião ordinária foram aprovados durante a reunião e por e-mail com a inclusão da assinatura da Conselheira Coordenadora</w:t>
            </w:r>
            <w:r w:rsidR="00132F36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constam na pasta da nuvem da reunião da CATHIS-CAU/MG.</w:t>
            </w:r>
          </w:p>
        </w:tc>
      </w:tr>
      <w:tr w:rsidR="00B61B96" w:rsidRPr="00E04F52" w14:paraId="70A20455" w14:textId="77777777" w:rsidTr="00B61B96">
        <w:trPr>
          <w:trHeight w:val="54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9A955" w14:textId="77777777" w:rsidR="00B61B96" w:rsidRPr="00E04F52" w:rsidRDefault="00B61B96" w:rsidP="00A328B3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B61B96" w:rsidRPr="00CC6F42" w14:paraId="4BC399D8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24A5" w14:textId="77777777" w:rsidR="00B61B96" w:rsidRPr="00CC6F42" w:rsidRDefault="00B61B96" w:rsidP="00A328B3">
            <w:pPr>
              <w:suppressLineNumbers/>
              <w:rPr>
                <w:rFonts w:asciiTheme="majorHAnsi" w:hAnsiTheme="majorHAnsi" w:cs="Times New Roman"/>
                <w:color w:val="BFBFBF" w:themeColor="background1" w:themeShade="BF"/>
                <w:sz w:val="20"/>
                <w:szCs w:val="20"/>
              </w:rPr>
            </w:pPr>
            <w:r w:rsidRPr="002E7B65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B61B96" w:rsidRPr="00CC6F42" w14:paraId="70797CCA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1CD62" w14:textId="77777777" w:rsidR="00B61B96" w:rsidRPr="00CC6F42" w:rsidRDefault="00B61B96" w:rsidP="00A328B3">
            <w:pPr>
              <w:rPr>
                <w:color w:val="BFBFBF" w:themeColor="background1" w:themeShade="BF"/>
                <w:sz w:val="10"/>
                <w:szCs w:val="10"/>
                <w:highlight w:val="yellow"/>
              </w:rPr>
            </w:pPr>
          </w:p>
          <w:p w14:paraId="3C61013E" w14:textId="77777777" w:rsidR="00B61B96" w:rsidRPr="00CC6F42" w:rsidRDefault="00B61B96" w:rsidP="00A328B3">
            <w:pPr>
              <w:rPr>
                <w:color w:val="BFBFBF" w:themeColor="background1" w:themeShade="BF"/>
                <w:sz w:val="10"/>
                <w:szCs w:val="10"/>
                <w:highlight w:val="yellow"/>
              </w:rPr>
            </w:pPr>
          </w:p>
        </w:tc>
      </w:tr>
      <w:tr w:rsidR="00F068EA" w:rsidRPr="00E04F52" w14:paraId="6FB4EDE8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D37BD52" w:rsidR="00F068EA" w:rsidRPr="00E04F52" w:rsidRDefault="00A964BE" w:rsidP="00F068E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CATHIS-CAU/MG.</w:t>
            </w:r>
          </w:p>
        </w:tc>
      </w:tr>
      <w:tr w:rsidR="00F068EA" w:rsidRPr="00E04F52" w14:paraId="36EC28D9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7F3BF0DD" w14:textId="0C4161C0" w:rsidR="009A2217" w:rsidRPr="00E04F52" w:rsidRDefault="00CC192D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 Assessor Diogo apresentou, conforme debates da reunião anterior, proposta para reformulação do Plano de Ação da CETHIS-CAU/MG com objetivo de deixá-lo mais legível de forma a possibilitar um melhor acompanhamento, mensalmente, durante as </w:t>
            </w:r>
            <w:r w:rsidR="009A2217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reuniões ordinárias. Os conselheiros da CATHIS-CAU/MG analisaram a proposta. </w:t>
            </w:r>
          </w:p>
          <w:p w14:paraId="434FB8EC" w14:textId="77777777" w:rsidR="009A2217" w:rsidRPr="00E04F52" w:rsidRDefault="009A2217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A267CA4" w14:textId="02F8C686" w:rsidR="009A2217" w:rsidRPr="00E04F52" w:rsidRDefault="009A2217" w:rsidP="00F17441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1.1-</w:t>
            </w:r>
          </w:p>
          <w:p w14:paraId="7836F7F1" w14:textId="67F96277" w:rsidR="00F068EA" w:rsidRPr="00E04F52" w:rsidRDefault="000672A3" w:rsidP="00F1744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No ato de </w:t>
            </w:r>
            <w:r w:rsidR="009A2217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reformulação do Plano de Ação, </w:t>
            </w: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foi destacada a necessidade de contrat</w:t>
            </w:r>
            <w:r w:rsidR="009A2217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 de Assessoria Parlamentar para andamentos da ação n° 1.3.6.2</w:t>
            </w:r>
            <w:r w:rsidR="0050254E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“ELENCAR PROJETOS DE LEI ESTADUAIS PARA A ATUAÇÃO DO CAU/MG REFERENTE À HABITAÇÃO DE INTERESSE SOCIAL”</w:t>
            </w:r>
            <w:r w:rsidR="009A2217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apoio na ação 1.3.5.2.</w:t>
            </w:r>
            <w:r w:rsidR="0050254E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“</w:t>
            </w:r>
            <w:r w:rsidR="0050254E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PROPOSTA DE FRENTE PARLAMENTAR PARA A ASSEMBLÉIA LEGISLATIVA DE MINAS GERAIS (</w:t>
            </w:r>
            <w:proofErr w:type="gramStart"/>
            <w:r w:rsidR="0050254E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ALMG)”</w:t>
            </w:r>
            <w:proofErr w:type="gramEnd"/>
          </w:p>
          <w:p w14:paraId="65435B5A" w14:textId="77777777" w:rsidR="0050254E" w:rsidRPr="00E04F52" w:rsidRDefault="0050254E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6800CE8" w14:textId="506B8622" w:rsidR="000672A3" w:rsidRPr="00E04F52" w:rsidRDefault="009A2217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Por este motivo, f</w:t>
            </w:r>
            <w:r w:rsidR="000672A3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oi emitia deliberação, </w:t>
            </w: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DCATHIS-CAU/MG n° 49.1.1</w:t>
            </w:r>
            <w:r w:rsidR="000672A3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destacando a importância e solicitando a contratação deste profissional para o CAU/MG.</w:t>
            </w:r>
          </w:p>
          <w:p w14:paraId="1AE50937" w14:textId="1B6B26AC" w:rsidR="009A2217" w:rsidRPr="00E04F52" w:rsidRDefault="009A2217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2936150" w14:textId="34DDC2EF" w:rsidR="00BD41BB" w:rsidRPr="00E04F52" w:rsidRDefault="00BD41BB" w:rsidP="00F17441">
            <w:pPr>
              <w:spacing w:line="259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Sobre a Ação </w:t>
            </w:r>
            <w:bookmarkStart w:id="1" w:name="_Hlk134002318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“1.3.5.2 </w:t>
            </w:r>
            <w:bookmarkEnd w:id="1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Pr="00E04F5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PROPOSTA DE FRENTE PARLAMENTAR PARA A ASSEMBLÉIA LEGISLATIVA DE MINAS GERAIS (</w:t>
            </w:r>
            <w:proofErr w:type="gramStart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ALMG)”</w:t>
            </w:r>
            <w:proofErr w:type="gramEnd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foi </w:t>
            </w:r>
            <w:r w:rsidR="009A2217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incluída na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Deliberação </w:t>
            </w:r>
            <w:r w:rsidR="009A2217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supracitada, </w:t>
            </w:r>
            <w:r w:rsidR="009A2217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DCATHIS-CAU/MG n° 49.1.1</w:t>
            </w:r>
            <w:r w:rsidR="009A2217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,</w:t>
            </w:r>
            <w:r w:rsidR="005B79D0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2217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solicitação à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Presidência do CAU/MG </w:t>
            </w:r>
            <w:r w:rsidR="009A2217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marcação de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reunião com a Frente Parlamentar de Engenharia e Arquitetura da ALMG.</w:t>
            </w:r>
          </w:p>
          <w:p w14:paraId="7E3E6200" w14:textId="4B092C54" w:rsidR="00BD41BB" w:rsidRPr="00E04F52" w:rsidRDefault="00BD41BB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748B07E" w14:textId="0AA77884" w:rsidR="009A2217" w:rsidRPr="00E04F52" w:rsidRDefault="009A2217" w:rsidP="00F17441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1.2 -</w:t>
            </w:r>
          </w:p>
          <w:p w14:paraId="50C9D52F" w14:textId="76320040" w:rsidR="00D875CB" w:rsidRPr="00E04F52" w:rsidRDefault="00D875CB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Após debate, foi decidido </w:t>
            </w:r>
            <w:r w:rsidR="000C49D4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reformular</w:t>
            </w: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 Plano de Ação da CATHIS nas seguintes ações: </w:t>
            </w:r>
          </w:p>
          <w:p w14:paraId="41AD3A0C" w14:textId="77777777" w:rsidR="00D875CB" w:rsidRPr="00E04F52" w:rsidRDefault="00D875CB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91A7C4D" w14:textId="77777777" w:rsidR="000C49D4" w:rsidRPr="00E04F52" w:rsidRDefault="000C49D4" w:rsidP="00F17441">
            <w:pPr>
              <w:spacing w:line="360" w:lineRule="auto"/>
              <w:ind w:left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2" w:name="_Hlk134001672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1.2.3 – ARTICULAÇÃO INTERINSTITUCIONAL COM A FINALIDADE DE IMPLEMENTAÇÃO DA ATHIS COMO POLÍTICA PÚBLICA LOCAL NOS MUNICÍPIOS MINEIROS, ESTADO DE MINAS GERAIS E UNIÃO </w:t>
            </w:r>
            <w:bookmarkEnd w:id="2"/>
          </w:p>
          <w:p w14:paraId="3FB14402" w14:textId="77777777" w:rsidR="000C49D4" w:rsidRPr="00E04F52" w:rsidRDefault="000C49D4" w:rsidP="00F17441">
            <w:pPr>
              <w:spacing w:line="360" w:lineRule="auto"/>
              <w:ind w:left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3" w:name="_Hlk134001939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1.2.6 – ARTICULAÇÃO DE AÇÕES EM REDE COM A CPP-CAU/BR E CATHIS DOS OUTROS CAU/UF RELACIONADAS A POLÍTICA DE ATHIS</w:t>
            </w:r>
          </w:p>
          <w:bookmarkEnd w:id="3"/>
          <w:p w14:paraId="7EBC2C2F" w14:textId="77777777" w:rsidR="000C49D4" w:rsidRPr="00E04F52" w:rsidRDefault="000C49D4" w:rsidP="00F17441">
            <w:pPr>
              <w:spacing w:line="360" w:lineRule="auto"/>
              <w:ind w:left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1.3.5.2 – PROPOSTA DE FRENTE PARLAMENTAR PARA A ASSEMBLÉIA LEGISLATIVA DE MINAS GERAIS (ALMG)</w:t>
            </w:r>
          </w:p>
          <w:p w14:paraId="2A4242E3" w14:textId="77777777" w:rsidR="000C49D4" w:rsidRPr="00E04F52" w:rsidRDefault="000C49D4" w:rsidP="00F17441">
            <w:pPr>
              <w:spacing w:line="360" w:lineRule="auto"/>
              <w:ind w:left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id="4" w:name="_Hlk134002324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1.3.6.2 </w:t>
            </w:r>
            <w:bookmarkEnd w:id="4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– ELENCAR PROJETOS DE LEI ESTADUAIS PARA A ATUAÇÃO DO CAU/MG REFERENTE À HABITAÇÃO DE INTERESSE SOCIAL</w:t>
            </w:r>
          </w:p>
          <w:p w14:paraId="45C7A609" w14:textId="77777777" w:rsidR="000C49D4" w:rsidRPr="00E04F52" w:rsidRDefault="000C49D4" w:rsidP="00F17441">
            <w:pPr>
              <w:spacing w:line="360" w:lineRule="auto"/>
              <w:ind w:firstLine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id="5" w:name="_Hlk134002395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2.1.16 </w:t>
            </w:r>
            <w:bookmarkEnd w:id="5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– PROPOR AÇÕES DE DIVULGAÇÃO DA ATHIS. </w:t>
            </w:r>
          </w:p>
          <w:p w14:paraId="13FB4245" w14:textId="77777777" w:rsidR="000C49D4" w:rsidRPr="00E04F52" w:rsidRDefault="000C49D4" w:rsidP="00F17441">
            <w:pPr>
              <w:spacing w:line="360" w:lineRule="auto"/>
              <w:ind w:firstLine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6" w:name="_Hlk134002569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3.1.13.2 – 4° SEMINÁRIO CONJUNTO DAS COMISSÕES ESPECIAIS (2023)</w:t>
            </w:r>
          </w:p>
          <w:p w14:paraId="42FF2248" w14:textId="77777777" w:rsidR="000C49D4" w:rsidRPr="00E04F52" w:rsidRDefault="000C49D4" w:rsidP="00F17441">
            <w:pPr>
              <w:spacing w:line="360" w:lineRule="auto"/>
              <w:ind w:firstLine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7" w:name="_Hlk134002586"/>
            <w:bookmarkEnd w:id="6"/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3.1.17 – IV SEMINÁRIO ATHIS: EXPERIÊNCIA DOS EDITAIS DO CAU/MG</w:t>
            </w:r>
          </w:p>
          <w:bookmarkEnd w:id="7"/>
          <w:p w14:paraId="48E2B742" w14:textId="77777777" w:rsidR="000C49D4" w:rsidRPr="00E04F52" w:rsidRDefault="000C49D4" w:rsidP="00F17441">
            <w:pPr>
              <w:spacing w:line="360" w:lineRule="auto"/>
              <w:ind w:firstLine="720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1.5.3.3 – DIRETRIZES PARA O EDITAL DE PATROCÍNIO NA MODALIDADE ATHIS – 2023</w:t>
            </w:r>
          </w:p>
          <w:p w14:paraId="14A8CB63" w14:textId="77777777" w:rsidR="000C49D4" w:rsidRPr="00E04F52" w:rsidRDefault="000C49D4" w:rsidP="00F1744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0EB713D" w14:textId="7F073A78" w:rsidR="009F1AE5" w:rsidRPr="00E04F52" w:rsidRDefault="009F1AE5" w:rsidP="00F1744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Foi emitida Deliberação, </w:t>
            </w: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DCATHIS-CAU/MG n° 49.1.2, com a configuração do novo Plano de Ação da CATHIS-CAU/MG revisado, para ciência da Presidência e GEPLAN-CAU/MG.</w:t>
            </w:r>
          </w:p>
          <w:p w14:paraId="5CA46058" w14:textId="77777777" w:rsidR="00D875CB" w:rsidRPr="00E04F52" w:rsidRDefault="00D875CB" w:rsidP="00F17441">
            <w:pPr>
              <w:ind w:left="70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952C213" w14:textId="395D5FDA" w:rsidR="00F068EA" w:rsidRPr="00E04F52" w:rsidRDefault="009F1AE5" w:rsidP="00F1744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fim de ciência dos recursos financeiros, f</w:t>
            </w:r>
            <w:r w:rsidR="00D875CB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oi solicitado ao Assessor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Diogo</w:t>
            </w:r>
            <w:r w:rsidR="00D875CB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que solicite ao Financeiro do CAU/MG a informação de dotação orçamentária para as ações da CATHIS</w:t>
            </w:r>
            <w:r w:rsidR="000C49D4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-CAU/MG</w:t>
            </w:r>
            <w:r w:rsidR="00D875CB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068EA" w:rsidRPr="00E04F52" w14:paraId="03C071BE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F068EA" w:rsidRPr="00E04F52" w:rsidRDefault="00F068EA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F068EA" w:rsidRPr="00E04F52" w14:paraId="380A8621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6DF0378" w:rsidR="00F068EA" w:rsidRPr="00E04F52" w:rsidRDefault="00F068EA" w:rsidP="00F068E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Apreciação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do e-mail da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Gerência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de Fiscalização,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referente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uma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assistência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pública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gratuita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projeto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a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construção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habitação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interesse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social (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n° 1668149/2023). </w:t>
            </w:r>
          </w:p>
        </w:tc>
      </w:tr>
      <w:tr w:rsidR="00F068EA" w:rsidRPr="00E04F52" w14:paraId="54AF6959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50BF4463" w14:textId="40E144F4" w:rsidR="0029204E" w:rsidRPr="00E04F52" w:rsidRDefault="0029204E" w:rsidP="00F1744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sz w:val="20"/>
                <w:szCs w:val="20"/>
              </w:rPr>
              <w:t xml:space="preserve">O Assessor Diogo iniciou o relato aos Conselheiros. </w:t>
            </w:r>
            <w:r w:rsidR="00C87DF4" w:rsidRPr="00E04F52">
              <w:rPr>
                <w:rFonts w:asciiTheme="majorHAnsi" w:hAnsiTheme="majorHAnsi"/>
                <w:sz w:val="20"/>
                <w:szCs w:val="20"/>
              </w:rPr>
              <w:t>No dia</w:t>
            </w:r>
            <w:r w:rsidR="00C87DF4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28/04/2023 foi enviado e-mail à Secretaria Executiva do CAU/MG solicitando informações sobre a marcação da reunião solicitada. </w:t>
            </w:r>
            <w:r w:rsidR="003375BC"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No dia 04/05/2023 a Secretaria Geral do CAU/MG conseguiu marcar reunião com a Gerente de Habitação, </w:t>
            </w:r>
            <w:r w:rsidR="003375BC" w:rsidRPr="00E04F52">
              <w:rPr>
                <w:rFonts w:asciiTheme="majorHAnsi" w:hAnsiTheme="majorHAnsi" w:cs="Segoe UI"/>
                <w:sz w:val="20"/>
                <w:szCs w:val="20"/>
              </w:rPr>
              <w:t>Ana Paula Luz e as funcionárias da SEPUR, Lívia Delgado e</w:t>
            </w:r>
            <w:r w:rsidR="003375BC" w:rsidRPr="00E04F52">
              <w:rPr>
                <w:rFonts w:asciiTheme="majorHAnsi" w:hAnsiTheme="majorHAnsi"/>
                <w:sz w:val="20"/>
                <w:szCs w:val="20"/>
              </w:rPr>
              <w:t xml:space="preserve"> Babi (</w:t>
            </w:r>
            <w:hyperlink r:id="rId8" w:history="1">
              <w:r w:rsidR="003375BC" w:rsidRPr="00E04F5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sepurpjf@gmail.com</w:t>
              </w:r>
            </w:hyperlink>
            <w:r w:rsidR="003375BC" w:rsidRPr="00E04F52">
              <w:rPr>
                <w:rFonts w:asciiTheme="majorHAnsi" w:hAnsiTheme="majorHAnsi"/>
                <w:sz w:val="20"/>
                <w:szCs w:val="20"/>
              </w:rPr>
              <w:t>)</w:t>
            </w:r>
            <w:r w:rsidR="00CB44AC" w:rsidRPr="00E04F52">
              <w:rPr>
                <w:rFonts w:asciiTheme="majorHAnsi" w:hAnsiTheme="majorHAnsi"/>
                <w:sz w:val="20"/>
                <w:szCs w:val="20"/>
              </w:rPr>
              <w:t>. A reunião foi realizada das 10h05min às 10h40min. A coordenadora da Secretaria do CAU/MG, Adriana Valadares, iniciou a reunião, apresentou os presentes e passou a palavra para o Assessor da CATHIS</w:t>
            </w:r>
            <w:r w:rsidRPr="00E04F52">
              <w:rPr>
                <w:rFonts w:asciiTheme="majorHAnsi" w:hAnsiTheme="majorHAnsi"/>
                <w:sz w:val="20"/>
                <w:szCs w:val="20"/>
              </w:rPr>
              <w:t xml:space="preserve"> Diogo,</w:t>
            </w:r>
            <w:r w:rsidR="00CB44AC" w:rsidRPr="00E04F52">
              <w:rPr>
                <w:rFonts w:asciiTheme="majorHAnsi" w:hAnsiTheme="majorHAnsi"/>
                <w:sz w:val="20"/>
                <w:szCs w:val="20"/>
              </w:rPr>
              <w:t xml:space="preserve"> que explicitou a motivação da reunião. As funcionárias da SEPUR explicitaram que, no caso da Vila Bejani, local onde mora a solicitante que enviou e-mail ao CAU/MG, já está sendo realizada regularização das propriedades. Disse que a solicitante foi encaminhada corretamente para o </w:t>
            </w:r>
            <w:proofErr w:type="spellStart"/>
            <w:r w:rsidR="00CB44AC" w:rsidRPr="00E04F52">
              <w:rPr>
                <w:rFonts w:asciiTheme="majorHAnsi" w:hAnsiTheme="majorHAnsi"/>
                <w:sz w:val="20"/>
                <w:szCs w:val="20"/>
              </w:rPr>
              <w:t>Emcasa</w:t>
            </w:r>
            <w:proofErr w:type="spellEnd"/>
            <w:r w:rsidR="00CB44AC" w:rsidRPr="00E04F52">
              <w:rPr>
                <w:rFonts w:asciiTheme="majorHAnsi" w:hAnsiTheme="majorHAnsi"/>
                <w:sz w:val="20"/>
                <w:szCs w:val="20"/>
              </w:rPr>
              <w:t xml:space="preserve">. Disse que quando o CAU receber solicitações deste tipo, informar para procurar o Escritório Público de Arquitetura e Engenharia tem como objetivo prestar assistência técnica para melhorias habitacionais nos imóveis da população de baixa renda do município. O Escritório Público possui o seguinte e-mail de contato: escritoriopublico@emcasajf.com.br. Foi informado que o CAU pode atuar nestes casos com projetos de fomentação de discussões dando visibilidade para os projetos de ATHIS do município. Contribuir com a estruturação destes projetos sendo um ator nestes fóruns de discussão defendendo a ATHIS. </w:t>
            </w:r>
            <w:r w:rsidR="002C46E9" w:rsidRPr="00E04F52">
              <w:rPr>
                <w:rFonts w:asciiTheme="majorHAnsi" w:hAnsiTheme="majorHAnsi"/>
                <w:sz w:val="20"/>
                <w:szCs w:val="20"/>
              </w:rPr>
              <w:t xml:space="preserve">Disse que o maior problema para a efetivação em maior escala dos programas de ATHIS é a captação de recurso financeiro. </w:t>
            </w:r>
            <w:r w:rsidR="00CB44AC" w:rsidRPr="00E04F52">
              <w:rPr>
                <w:rFonts w:asciiTheme="majorHAnsi" w:hAnsiTheme="majorHAnsi"/>
                <w:sz w:val="20"/>
                <w:szCs w:val="20"/>
              </w:rPr>
              <w:t>Disse que para marcar uma reunião com a Prefeita é necessário a elaboração de uma proposta específica sobre como contribuir nas ações de ATHIS. Foi informado que estão desatualizadas as informações no site do CAU/BR</w:t>
            </w:r>
            <w:r w:rsidR="006817CF" w:rsidRPr="00E04F5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hyperlink r:id="rId9" w:history="1">
              <w:r w:rsidR="006817CF" w:rsidRPr="00E04F5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https://caubr.gov.br/moradiadigna/</w:t>
              </w:r>
            </w:hyperlink>
            <w:r w:rsidR="006817CF" w:rsidRPr="00E04F5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CB44AC" w:rsidRPr="00E04F52">
              <w:rPr>
                <w:rFonts w:asciiTheme="majorHAnsi" w:hAnsiTheme="majorHAnsi"/>
                <w:sz w:val="20"/>
                <w:szCs w:val="20"/>
              </w:rPr>
              <w:t>sobre os programas de ATHIS em Juiz de Fora e ficaram de encaminhar um e-</w:t>
            </w:r>
            <w:r w:rsidR="00CB44AC" w:rsidRPr="00E04F5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mail </w:t>
            </w:r>
            <w:r w:rsidR="006817CF" w:rsidRPr="00E04F52">
              <w:rPr>
                <w:rFonts w:asciiTheme="majorHAnsi" w:hAnsiTheme="majorHAnsi"/>
                <w:sz w:val="20"/>
                <w:szCs w:val="20"/>
              </w:rPr>
              <w:t>com as informações corretas.</w:t>
            </w:r>
            <w:r w:rsidR="00CB44AC" w:rsidRPr="00E04F5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2C46E9" w:rsidRPr="00E04F52">
              <w:rPr>
                <w:rFonts w:asciiTheme="majorHAnsi" w:hAnsiTheme="majorHAnsi"/>
                <w:sz w:val="20"/>
                <w:szCs w:val="20"/>
              </w:rPr>
              <w:t xml:space="preserve">Foi dito que o Fabrício do </w:t>
            </w:r>
            <w:proofErr w:type="spellStart"/>
            <w:r w:rsidR="002C46E9" w:rsidRPr="00E04F52">
              <w:rPr>
                <w:rFonts w:asciiTheme="majorHAnsi" w:hAnsiTheme="majorHAnsi"/>
                <w:sz w:val="20"/>
                <w:szCs w:val="20"/>
              </w:rPr>
              <w:t>Emcasa</w:t>
            </w:r>
            <w:proofErr w:type="spellEnd"/>
            <w:r w:rsidR="002C46E9" w:rsidRPr="00E04F52">
              <w:rPr>
                <w:rFonts w:asciiTheme="majorHAnsi" w:hAnsiTheme="majorHAnsi"/>
                <w:sz w:val="20"/>
                <w:szCs w:val="20"/>
              </w:rPr>
              <w:t xml:space="preserve"> estará presente no Congresso Mineiro de Municípios e fará uma fala sobre os projetos de ATHIS em Juiz de Fora. </w:t>
            </w:r>
            <w:r w:rsidRPr="00E04F52">
              <w:rPr>
                <w:rFonts w:asciiTheme="majorHAnsi" w:hAnsiTheme="majorHAnsi"/>
                <w:sz w:val="20"/>
                <w:szCs w:val="20"/>
              </w:rPr>
              <w:t xml:space="preserve">Não houve deliberação. </w:t>
            </w:r>
          </w:p>
        </w:tc>
      </w:tr>
      <w:tr w:rsidR="00D77CC3" w:rsidRPr="00E04F52" w14:paraId="71B7FCF9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0F51B" w14:textId="77777777" w:rsidR="00D77CC3" w:rsidRPr="00E04F52" w:rsidRDefault="00D77CC3" w:rsidP="00CE4294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77CC3" w:rsidRPr="00E04F52" w14:paraId="5DE481DE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C6E69" w14:textId="5E74006F" w:rsidR="00D77CC3" w:rsidRPr="00E04F52" w:rsidRDefault="00D77CC3" w:rsidP="00C014DA">
            <w:pPr>
              <w:pStyle w:val="PargrafodaLista"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Athis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2023. (Protocolo n° 1709285/2023).</w:t>
            </w:r>
          </w:p>
        </w:tc>
      </w:tr>
      <w:tr w:rsidR="00D77CC3" w:rsidRPr="00E04F52" w14:paraId="2C768C26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9CBE54E" w14:textId="77777777" w:rsidR="00F17441" w:rsidRPr="00E04F52" w:rsidRDefault="00F17441" w:rsidP="00F17441">
            <w:pPr>
              <w:suppressLineNumbers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O Edital foi publicado no site do CAU/MG (https://www.caumg.gov.br/athis-2023/) no dia 12/04/2023.</w:t>
            </w:r>
          </w:p>
          <w:p w14:paraId="29038B19" w14:textId="690F99DE" w:rsidR="00C014DA" w:rsidRPr="00E04F52" w:rsidRDefault="00F17441" w:rsidP="00F17441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F5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O recebimento das propostas e documentos será realizado pelo e-mail patrocinio@caumg.gov.br até ás 18h00min do dia 15/05/2023. O prazo para impugnação do Edital finda às 18h00min do dia 11/05/2023. Após o dia 15/05/2023 a Equipe Técnica da GAF </w:t>
            </w:r>
            <w:r w:rsidRPr="00E04F52">
              <w:rPr>
                <w:rFonts w:asciiTheme="majorHAnsi" w:hAnsiTheme="majorHAnsi"/>
                <w:sz w:val="20"/>
                <w:szCs w:val="20"/>
              </w:rPr>
              <w:t xml:space="preserve">fará a análise de habilitação das propostas. Após o resultado desta análise a Comissão para a análise, seleção e classificação das propostas habilitadas iniciará seus trabalhos para avaliação do mérito e julgamento das propostas. </w:t>
            </w:r>
          </w:p>
          <w:p w14:paraId="07FBFC6D" w14:textId="168EC34D" w:rsidR="00C014DA" w:rsidRPr="00E04F52" w:rsidRDefault="00F17441" w:rsidP="00F17441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Conselheira Rosilene informou que não terá disponibilidade às quintas e sextas-feiras nas reuniões da </w:t>
            </w:r>
            <w:r w:rsidRPr="00E04F52">
              <w:rPr>
                <w:rFonts w:asciiTheme="majorHAnsi" w:hAnsiTheme="majorHAnsi"/>
                <w:sz w:val="20"/>
                <w:szCs w:val="20"/>
              </w:rPr>
              <w:t>Comissão para a análise, seleção e classificação das propostas habilitadas.</w:t>
            </w:r>
          </w:p>
          <w:p w14:paraId="7F81AA7D" w14:textId="18514FA5" w:rsidR="00D77CC3" w:rsidRPr="00E04F52" w:rsidRDefault="00F17441" w:rsidP="00F17441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E04F5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Foi emitida deliberação solicitando à Assessoria da Comunicação intensificar a divulgação do Edital de ATHIS e solicitando </w:t>
            </w:r>
            <w:proofErr w:type="spellStart"/>
            <w:r w:rsidRPr="00E04F5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impulsionamento</w:t>
            </w:r>
            <w:proofErr w:type="spellEnd"/>
            <w:r w:rsidRPr="00E04F5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de publicidade deste Edital nas redes sociais do CAU com direcionamento a órgãos públicos e prefeituras, se possível.</w:t>
            </w:r>
          </w:p>
        </w:tc>
      </w:tr>
      <w:tr w:rsidR="00D77CC3" w:rsidRPr="00E04F52" w14:paraId="141C34CE" w14:textId="77777777" w:rsidTr="00B61B9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B68B1" w14:textId="77777777" w:rsidR="00D77CC3" w:rsidRPr="00E04F52" w:rsidRDefault="00D77CC3" w:rsidP="00CE4294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F068EA" w:rsidRPr="00E04F52" w14:paraId="622AC38A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FE180" w14:textId="4CC49DD2" w:rsidR="00F068EA" w:rsidRPr="00E04F52" w:rsidRDefault="00D77CC3" w:rsidP="00C014D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Outros </w:t>
            </w:r>
            <w:proofErr w:type="spellStart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Assuntos</w:t>
            </w:r>
            <w:proofErr w:type="spellEnd"/>
            <w:r w:rsidRPr="00E04F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068EA" w:rsidRPr="00E04F52" w14:paraId="1569CBCF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D9C6F62" w14:textId="17CB883C" w:rsidR="007079F6" w:rsidRPr="00E04F52" w:rsidRDefault="00D77CC3" w:rsidP="00F17441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Conselheira Rosilene informou sobre a possibilidade de volta das reuniões das Comissões Especiais voltarem a ser presenciais ou em formato híbrido. </w:t>
            </w:r>
            <w:r w:rsidR="00343870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assunto foi debatido com o consenso de que em alguns momentos a reunião em formato presencial contribui para um melhor andamento dos trabalhos da Comissão. </w:t>
            </w:r>
            <w:r w:rsidR="00CC192D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Foi emitida uma Deliberação, DCATHIS-CAU/MG n° 49.4, 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questionando </w:t>
            </w:r>
            <w:r w:rsidR="00083232"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sobre </w:t>
            </w: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esta possibilidade à Presidência do CAU/MG.</w:t>
            </w:r>
          </w:p>
        </w:tc>
      </w:tr>
      <w:tr w:rsidR="00F068EA" w:rsidRPr="00E04F52" w14:paraId="2D459B87" w14:textId="77777777" w:rsidTr="00B61B96">
        <w:trPr>
          <w:trHeight w:val="248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AF1C910" w:rsidR="00B836CC" w:rsidRPr="00E04F52" w:rsidRDefault="00B836CC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C57051" w:rsidRPr="00E04F52" w14:paraId="55DBDB21" w14:textId="77777777" w:rsidTr="00B61B9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66AD" w14:textId="77777777" w:rsidR="00F068EA" w:rsidRPr="00E04F52" w:rsidRDefault="00F068EA" w:rsidP="00F068EA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="00C57051" w:rsidRPr="00E04F52" w14:paraId="366C0DA9" w14:textId="77777777" w:rsidTr="00B61B9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E726A7C" w14:textId="62DA9742" w:rsidR="00F068EA" w:rsidRPr="00E04F52" w:rsidRDefault="00F068EA" w:rsidP="00F068EA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04F5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 sessão foi encerrada às 11h40min.</w:t>
            </w:r>
          </w:p>
        </w:tc>
      </w:tr>
    </w:tbl>
    <w:p w14:paraId="4373083C" w14:textId="30924A95" w:rsidR="00CB1F20" w:rsidRPr="00E04F52" w:rsidRDefault="00CB1F20" w:rsidP="00CB1F2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Especial De Assistência Técnica Para Habitação De Interesse Social do CAU/MG – CEF-CAU/MG.</w:t>
      </w:r>
    </w:p>
    <w:p w14:paraId="7743F451" w14:textId="77777777" w:rsidR="00CB1F20" w:rsidRPr="00E04F52" w:rsidRDefault="00CB1F20" w:rsidP="00CB1F2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6C26F2D" w14:textId="3E1BA492" w:rsidR="009D014D" w:rsidRPr="00E04F52" w:rsidRDefault="009D014D" w:rsidP="009D014D">
      <w:pPr>
        <w:spacing w:line="300" w:lineRule="auto"/>
        <w:ind w:firstLine="72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2B2CE3B" w14:textId="77777777" w:rsidR="00CB1F20" w:rsidRPr="00E04F52" w:rsidRDefault="00CB1F20" w:rsidP="00CB1F2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1FB89E64" w14:textId="26D62304" w:rsidR="00CB1F20" w:rsidRPr="00E04F52" w:rsidRDefault="00CB1F20" w:rsidP="00CB1F20">
      <w:pPr>
        <w:spacing w:line="300" w:lineRule="auto"/>
        <w:ind w:firstLine="72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Rosilene Guedes Souza</w:t>
      </w:r>
    </w:p>
    <w:p w14:paraId="512AA18B" w14:textId="77777777" w:rsidR="00CB1F20" w:rsidRPr="00E04F52" w:rsidRDefault="00CB1F20" w:rsidP="00CB1F2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Conselheira Coordenadora </w:t>
      </w: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E04F52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 -</w:t>
      </w:r>
    </w:p>
    <w:p w14:paraId="48209C76" w14:textId="77777777" w:rsidR="00CB1F20" w:rsidRPr="00E04F52" w:rsidRDefault="00CB1F20" w:rsidP="00CB1F2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14:paraId="286C3EE3" w14:textId="6B8428C9" w:rsidR="00CB1F20" w:rsidRPr="00E04F52" w:rsidRDefault="00CB1F20" w:rsidP="00CB1F20">
      <w:pPr>
        <w:spacing w:line="300" w:lineRule="auto"/>
        <w:ind w:firstLine="72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612B5D2" w14:textId="77777777" w:rsidR="00CB1F20" w:rsidRPr="00E04F52" w:rsidRDefault="00CB1F20" w:rsidP="009D014D">
      <w:pPr>
        <w:spacing w:line="300" w:lineRule="auto"/>
        <w:ind w:firstLine="72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ED757A3" w14:textId="77777777" w:rsidR="0095776C" w:rsidRPr="00E04F52" w:rsidRDefault="0095776C" w:rsidP="0095776C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3F581AD6" w14:textId="01A4CA4D" w:rsidR="008148C0" w:rsidRPr="00E04F52" w:rsidRDefault="008148C0" w:rsidP="0095776C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Diogo U. Braga </w:t>
      </w:r>
    </w:p>
    <w:p w14:paraId="2B18E8C5" w14:textId="48C992DD" w:rsidR="0095776C" w:rsidRPr="00E04F52" w:rsidRDefault="008148C0" w:rsidP="0095776C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 xml:space="preserve"> Assessor</w:t>
      </w:r>
      <w:r w:rsidR="0095776C" w:rsidRPr="00E04F52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E04F52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</w:t>
      </w:r>
      <w:r w:rsidR="00CB1F20" w:rsidRPr="00E04F52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-</w:t>
      </w:r>
    </w:p>
    <w:p w14:paraId="533B756F" w14:textId="0D403970" w:rsidR="0095776C" w:rsidRPr="00E04F52" w:rsidRDefault="00E9608F" w:rsidP="00E9608F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E04F52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sectPr w:rsidR="0095776C" w:rsidRPr="00E04F52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98EA" w14:textId="77777777" w:rsidR="00AC767B" w:rsidRDefault="00AC767B">
      <w:r>
        <w:separator/>
      </w:r>
    </w:p>
  </w:endnote>
  <w:endnote w:type="continuationSeparator" w:id="0">
    <w:p w14:paraId="50C3A714" w14:textId="77777777" w:rsidR="00AC767B" w:rsidRDefault="00AC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9272" w14:textId="77777777" w:rsidR="00AC767B" w:rsidRDefault="00AC767B">
      <w:r>
        <w:separator/>
      </w:r>
    </w:p>
  </w:footnote>
  <w:footnote w:type="continuationSeparator" w:id="0">
    <w:p w14:paraId="559A5E68" w14:textId="77777777" w:rsidR="00AC767B" w:rsidRDefault="00AC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77670F"/>
    <w:multiLevelType w:val="multilevel"/>
    <w:tmpl w:val="CD8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E6986"/>
    <w:multiLevelType w:val="hybridMultilevel"/>
    <w:tmpl w:val="FFAE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7EB5"/>
    <w:multiLevelType w:val="hybridMultilevel"/>
    <w:tmpl w:val="D4D8F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0592B"/>
    <w:multiLevelType w:val="multilevel"/>
    <w:tmpl w:val="72A6C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4C3EDA"/>
    <w:multiLevelType w:val="hybridMultilevel"/>
    <w:tmpl w:val="DAA44C5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A86586D"/>
    <w:multiLevelType w:val="multilevel"/>
    <w:tmpl w:val="2500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0035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DC22983"/>
    <w:multiLevelType w:val="hybridMultilevel"/>
    <w:tmpl w:val="57DE74DE"/>
    <w:lvl w:ilvl="0" w:tplc="EC52A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24E3"/>
    <w:multiLevelType w:val="multilevel"/>
    <w:tmpl w:val="8B56D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07F6557"/>
    <w:multiLevelType w:val="hybridMultilevel"/>
    <w:tmpl w:val="DAA44C54"/>
    <w:lvl w:ilvl="0" w:tplc="B2FE45F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4" w15:restartNumberingAfterBreak="0">
    <w:nsid w:val="7815201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27"/>
  </w:num>
  <w:num w:numId="5">
    <w:abstractNumId w:val="11"/>
  </w:num>
  <w:num w:numId="6">
    <w:abstractNumId w:val="20"/>
  </w:num>
  <w:num w:numId="7">
    <w:abstractNumId w:val="6"/>
  </w:num>
  <w:num w:numId="8">
    <w:abstractNumId w:val="26"/>
  </w:num>
  <w:num w:numId="9">
    <w:abstractNumId w:val="9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"/>
  </w:num>
  <w:num w:numId="14">
    <w:abstractNumId w:val="3"/>
  </w:num>
  <w:num w:numId="15">
    <w:abstractNumId w:val="4"/>
  </w:num>
  <w:num w:numId="16">
    <w:abstractNumId w:val="31"/>
  </w:num>
  <w:num w:numId="17">
    <w:abstractNumId w:val="0"/>
  </w:num>
  <w:num w:numId="18">
    <w:abstractNumId w:val="29"/>
  </w:num>
  <w:num w:numId="19">
    <w:abstractNumId w:val="28"/>
  </w:num>
  <w:num w:numId="20">
    <w:abstractNumId w:val="12"/>
  </w:num>
  <w:num w:numId="21">
    <w:abstractNumId w:val="13"/>
  </w:num>
  <w:num w:numId="22">
    <w:abstractNumId w:val="21"/>
  </w:num>
  <w:num w:numId="23">
    <w:abstractNumId w:val="22"/>
  </w:num>
  <w:num w:numId="24">
    <w:abstractNumId w:val="7"/>
  </w:num>
  <w:num w:numId="25">
    <w:abstractNumId w:val="19"/>
  </w:num>
  <w:num w:numId="26">
    <w:abstractNumId w:val="5"/>
  </w:num>
  <w:num w:numId="27">
    <w:abstractNumId w:val="16"/>
  </w:num>
  <w:num w:numId="28">
    <w:abstractNumId w:val="32"/>
  </w:num>
  <w:num w:numId="29">
    <w:abstractNumId w:val="2"/>
  </w:num>
  <w:num w:numId="30">
    <w:abstractNumId w:val="18"/>
  </w:num>
  <w:num w:numId="31">
    <w:abstractNumId w:val="34"/>
  </w:num>
  <w:num w:numId="32">
    <w:abstractNumId w:val="15"/>
  </w:num>
  <w:num w:numId="33">
    <w:abstractNumId w:val="25"/>
  </w:num>
  <w:num w:numId="34">
    <w:abstractNumId w:val="14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14B9"/>
    <w:rsid w:val="000043DC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672A3"/>
    <w:rsid w:val="000707A7"/>
    <w:rsid w:val="00073333"/>
    <w:rsid w:val="000747FA"/>
    <w:rsid w:val="00074EBC"/>
    <w:rsid w:val="00074F63"/>
    <w:rsid w:val="00077DC9"/>
    <w:rsid w:val="00080F55"/>
    <w:rsid w:val="00083232"/>
    <w:rsid w:val="00084D7A"/>
    <w:rsid w:val="000A48E4"/>
    <w:rsid w:val="000A74CB"/>
    <w:rsid w:val="000A78CD"/>
    <w:rsid w:val="000B24B8"/>
    <w:rsid w:val="000C0A5E"/>
    <w:rsid w:val="000C49D4"/>
    <w:rsid w:val="000D3A2D"/>
    <w:rsid w:val="000D5801"/>
    <w:rsid w:val="000E3837"/>
    <w:rsid w:val="000E60E2"/>
    <w:rsid w:val="000F056F"/>
    <w:rsid w:val="000F1ECC"/>
    <w:rsid w:val="0010605A"/>
    <w:rsid w:val="0010775F"/>
    <w:rsid w:val="001104D7"/>
    <w:rsid w:val="00117325"/>
    <w:rsid w:val="00117E4A"/>
    <w:rsid w:val="001318DD"/>
    <w:rsid w:val="00131ADC"/>
    <w:rsid w:val="00132F36"/>
    <w:rsid w:val="00144FD0"/>
    <w:rsid w:val="00146390"/>
    <w:rsid w:val="001533CF"/>
    <w:rsid w:val="001616AA"/>
    <w:rsid w:val="001618BE"/>
    <w:rsid w:val="00174DDB"/>
    <w:rsid w:val="0017578F"/>
    <w:rsid w:val="0017674A"/>
    <w:rsid w:val="00187C96"/>
    <w:rsid w:val="00192F7D"/>
    <w:rsid w:val="001A4779"/>
    <w:rsid w:val="001B4C81"/>
    <w:rsid w:val="001C5F97"/>
    <w:rsid w:val="001D1B93"/>
    <w:rsid w:val="001E1A24"/>
    <w:rsid w:val="001F5928"/>
    <w:rsid w:val="00204C0D"/>
    <w:rsid w:val="00211752"/>
    <w:rsid w:val="00212507"/>
    <w:rsid w:val="002209A3"/>
    <w:rsid w:val="00231EEB"/>
    <w:rsid w:val="00234A45"/>
    <w:rsid w:val="00235535"/>
    <w:rsid w:val="002577F6"/>
    <w:rsid w:val="00260EB0"/>
    <w:rsid w:val="00272DC9"/>
    <w:rsid w:val="00274427"/>
    <w:rsid w:val="0028243E"/>
    <w:rsid w:val="0029204E"/>
    <w:rsid w:val="002978BD"/>
    <w:rsid w:val="002A3E82"/>
    <w:rsid w:val="002A57A5"/>
    <w:rsid w:val="002B1688"/>
    <w:rsid w:val="002B548C"/>
    <w:rsid w:val="002C216D"/>
    <w:rsid w:val="002C46E9"/>
    <w:rsid w:val="002E6385"/>
    <w:rsid w:val="0031122E"/>
    <w:rsid w:val="00313C4E"/>
    <w:rsid w:val="00317D68"/>
    <w:rsid w:val="00330D38"/>
    <w:rsid w:val="00332061"/>
    <w:rsid w:val="0033415D"/>
    <w:rsid w:val="003375BC"/>
    <w:rsid w:val="003403DC"/>
    <w:rsid w:val="00343870"/>
    <w:rsid w:val="003452FD"/>
    <w:rsid w:val="00347790"/>
    <w:rsid w:val="003526E8"/>
    <w:rsid w:val="003574F9"/>
    <w:rsid w:val="00363340"/>
    <w:rsid w:val="0037114A"/>
    <w:rsid w:val="00384098"/>
    <w:rsid w:val="003942AC"/>
    <w:rsid w:val="003A213D"/>
    <w:rsid w:val="003B6801"/>
    <w:rsid w:val="003B6DD1"/>
    <w:rsid w:val="003C1025"/>
    <w:rsid w:val="003D67E5"/>
    <w:rsid w:val="003F20DD"/>
    <w:rsid w:val="003F238D"/>
    <w:rsid w:val="003F5DA0"/>
    <w:rsid w:val="003F6032"/>
    <w:rsid w:val="00400BE8"/>
    <w:rsid w:val="0040101C"/>
    <w:rsid w:val="004019BC"/>
    <w:rsid w:val="0044192A"/>
    <w:rsid w:val="00457E68"/>
    <w:rsid w:val="00466FB0"/>
    <w:rsid w:val="00473CA8"/>
    <w:rsid w:val="00475E5D"/>
    <w:rsid w:val="00481423"/>
    <w:rsid w:val="0049267C"/>
    <w:rsid w:val="004A5592"/>
    <w:rsid w:val="004B070F"/>
    <w:rsid w:val="004C2324"/>
    <w:rsid w:val="004C4D47"/>
    <w:rsid w:val="004D5344"/>
    <w:rsid w:val="004E0921"/>
    <w:rsid w:val="004E5095"/>
    <w:rsid w:val="004F56DB"/>
    <w:rsid w:val="0050136D"/>
    <w:rsid w:val="0050254E"/>
    <w:rsid w:val="00511D60"/>
    <w:rsid w:val="005202A3"/>
    <w:rsid w:val="00530B7E"/>
    <w:rsid w:val="00544B65"/>
    <w:rsid w:val="00551814"/>
    <w:rsid w:val="0055266E"/>
    <w:rsid w:val="005664D1"/>
    <w:rsid w:val="0058395B"/>
    <w:rsid w:val="005849C7"/>
    <w:rsid w:val="00594763"/>
    <w:rsid w:val="00597BD5"/>
    <w:rsid w:val="005A1693"/>
    <w:rsid w:val="005A1D65"/>
    <w:rsid w:val="005B6066"/>
    <w:rsid w:val="005B79D0"/>
    <w:rsid w:val="005C5A71"/>
    <w:rsid w:val="005D1E4C"/>
    <w:rsid w:val="005D26D2"/>
    <w:rsid w:val="005F4768"/>
    <w:rsid w:val="00604528"/>
    <w:rsid w:val="00610DB9"/>
    <w:rsid w:val="0061502B"/>
    <w:rsid w:val="006232E4"/>
    <w:rsid w:val="00627A20"/>
    <w:rsid w:val="00634B33"/>
    <w:rsid w:val="00641FA1"/>
    <w:rsid w:val="00644F17"/>
    <w:rsid w:val="00646371"/>
    <w:rsid w:val="00655AD6"/>
    <w:rsid w:val="0066517D"/>
    <w:rsid w:val="00667F66"/>
    <w:rsid w:val="006817CF"/>
    <w:rsid w:val="00686D15"/>
    <w:rsid w:val="00692726"/>
    <w:rsid w:val="006A329A"/>
    <w:rsid w:val="006B1141"/>
    <w:rsid w:val="006B6454"/>
    <w:rsid w:val="006C0705"/>
    <w:rsid w:val="006C12BF"/>
    <w:rsid w:val="006C4686"/>
    <w:rsid w:val="006D28CA"/>
    <w:rsid w:val="006D7BA9"/>
    <w:rsid w:val="006E6D2D"/>
    <w:rsid w:val="006F198E"/>
    <w:rsid w:val="006F2A42"/>
    <w:rsid w:val="006F2BB8"/>
    <w:rsid w:val="00707243"/>
    <w:rsid w:val="007079F6"/>
    <w:rsid w:val="00720A3D"/>
    <w:rsid w:val="00726421"/>
    <w:rsid w:val="00740BCD"/>
    <w:rsid w:val="00741E9F"/>
    <w:rsid w:val="00744EAA"/>
    <w:rsid w:val="007572A0"/>
    <w:rsid w:val="00761C87"/>
    <w:rsid w:val="007703A8"/>
    <w:rsid w:val="007814BD"/>
    <w:rsid w:val="00786FBF"/>
    <w:rsid w:val="0079491D"/>
    <w:rsid w:val="007958C6"/>
    <w:rsid w:val="007B4560"/>
    <w:rsid w:val="007C3DE9"/>
    <w:rsid w:val="007C5270"/>
    <w:rsid w:val="007D65BB"/>
    <w:rsid w:val="007E1569"/>
    <w:rsid w:val="007E6A4D"/>
    <w:rsid w:val="007E6E3C"/>
    <w:rsid w:val="007F1BD0"/>
    <w:rsid w:val="007F3664"/>
    <w:rsid w:val="007F6D70"/>
    <w:rsid w:val="008041A0"/>
    <w:rsid w:val="00805D2F"/>
    <w:rsid w:val="008148C0"/>
    <w:rsid w:val="008169CE"/>
    <w:rsid w:val="00827AA5"/>
    <w:rsid w:val="00845619"/>
    <w:rsid w:val="00846D3E"/>
    <w:rsid w:val="0084790C"/>
    <w:rsid w:val="00854EE3"/>
    <w:rsid w:val="008724F5"/>
    <w:rsid w:val="008A32AA"/>
    <w:rsid w:val="008A5FD1"/>
    <w:rsid w:val="008B30AD"/>
    <w:rsid w:val="008B5E0B"/>
    <w:rsid w:val="008B6415"/>
    <w:rsid w:val="008C6AF6"/>
    <w:rsid w:val="008C6FE0"/>
    <w:rsid w:val="008C745C"/>
    <w:rsid w:val="008D6C47"/>
    <w:rsid w:val="00900566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8387E"/>
    <w:rsid w:val="00983C69"/>
    <w:rsid w:val="00990A66"/>
    <w:rsid w:val="00994740"/>
    <w:rsid w:val="009A11F8"/>
    <w:rsid w:val="009A2217"/>
    <w:rsid w:val="009B3A08"/>
    <w:rsid w:val="009C023E"/>
    <w:rsid w:val="009C1FAC"/>
    <w:rsid w:val="009C2FC9"/>
    <w:rsid w:val="009C4A62"/>
    <w:rsid w:val="009D014D"/>
    <w:rsid w:val="009D0851"/>
    <w:rsid w:val="009D124E"/>
    <w:rsid w:val="009E3F2D"/>
    <w:rsid w:val="009E6120"/>
    <w:rsid w:val="009E6316"/>
    <w:rsid w:val="009E789F"/>
    <w:rsid w:val="009F1AE5"/>
    <w:rsid w:val="009F6066"/>
    <w:rsid w:val="00A031A9"/>
    <w:rsid w:val="00A07397"/>
    <w:rsid w:val="00A20F10"/>
    <w:rsid w:val="00A2658E"/>
    <w:rsid w:val="00A27652"/>
    <w:rsid w:val="00A354F0"/>
    <w:rsid w:val="00A63A45"/>
    <w:rsid w:val="00A71DBF"/>
    <w:rsid w:val="00A72FA3"/>
    <w:rsid w:val="00A75BDE"/>
    <w:rsid w:val="00A760FF"/>
    <w:rsid w:val="00A76D48"/>
    <w:rsid w:val="00A76EBB"/>
    <w:rsid w:val="00A771C3"/>
    <w:rsid w:val="00A87F95"/>
    <w:rsid w:val="00A964BE"/>
    <w:rsid w:val="00AC55C8"/>
    <w:rsid w:val="00AC767B"/>
    <w:rsid w:val="00AD725D"/>
    <w:rsid w:val="00AE0631"/>
    <w:rsid w:val="00AE167D"/>
    <w:rsid w:val="00B14066"/>
    <w:rsid w:val="00B26BE0"/>
    <w:rsid w:val="00B272D6"/>
    <w:rsid w:val="00B30203"/>
    <w:rsid w:val="00B336D1"/>
    <w:rsid w:val="00B37AF7"/>
    <w:rsid w:val="00B44E9E"/>
    <w:rsid w:val="00B46377"/>
    <w:rsid w:val="00B52DF4"/>
    <w:rsid w:val="00B61B96"/>
    <w:rsid w:val="00B62AE0"/>
    <w:rsid w:val="00B6509F"/>
    <w:rsid w:val="00B66C82"/>
    <w:rsid w:val="00B71EF7"/>
    <w:rsid w:val="00B836CC"/>
    <w:rsid w:val="00B86FE3"/>
    <w:rsid w:val="00B90586"/>
    <w:rsid w:val="00B92513"/>
    <w:rsid w:val="00BB29FA"/>
    <w:rsid w:val="00BB53F0"/>
    <w:rsid w:val="00BB7825"/>
    <w:rsid w:val="00BC5BAF"/>
    <w:rsid w:val="00BD41BB"/>
    <w:rsid w:val="00BF4CE2"/>
    <w:rsid w:val="00C014DA"/>
    <w:rsid w:val="00C04707"/>
    <w:rsid w:val="00C22179"/>
    <w:rsid w:val="00C351BC"/>
    <w:rsid w:val="00C36C28"/>
    <w:rsid w:val="00C37452"/>
    <w:rsid w:val="00C4435B"/>
    <w:rsid w:val="00C5259B"/>
    <w:rsid w:val="00C53C83"/>
    <w:rsid w:val="00C57051"/>
    <w:rsid w:val="00C634D6"/>
    <w:rsid w:val="00C6352D"/>
    <w:rsid w:val="00C64EC1"/>
    <w:rsid w:val="00C676AC"/>
    <w:rsid w:val="00C7274A"/>
    <w:rsid w:val="00C73715"/>
    <w:rsid w:val="00C73A31"/>
    <w:rsid w:val="00C87DF4"/>
    <w:rsid w:val="00C91F43"/>
    <w:rsid w:val="00C92535"/>
    <w:rsid w:val="00C93CEF"/>
    <w:rsid w:val="00CA19B7"/>
    <w:rsid w:val="00CA5A10"/>
    <w:rsid w:val="00CA5EF6"/>
    <w:rsid w:val="00CB1F20"/>
    <w:rsid w:val="00CB44AC"/>
    <w:rsid w:val="00CB5CAA"/>
    <w:rsid w:val="00CC192D"/>
    <w:rsid w:val="00CD0629"/>
    <w:rsid w:val="00CF2C23"/>
    <w:rsid w:val="00D04EBA"/>
    <w:rsid w:val="00D0553C"/>
    <w:rsid w:val="00D07860"/>
    <w:rsid w:val="00D116E3"/>
    <w:rsid w:val="00D1503A"/>
    <w:rsid w:val="00D15B06"/>
    <w:rsid w:val="00D22E01"/>
    <w:rsid w:val="00D449B1"/>
    <w:rsid w:val="00D521B1"/>
    <w:rsid w:val="00D56503"/>
    <w:rsid w:val="00D66B18"/>
    <w:rsid w:val="00D71D13"/>
    <w:rsid w:val="00D77CC3"/>
    <w:rsid w:val="00D875CB"/>
    <w:rsid w:val="00D90689"/>
    <w:rsid w:val="00DA0464"/>
    <w:rsid w:val="00DA410E"/>
    <w:rsid w:val="00DA7171"/>
    <w:rsid w:val="00DC3D44"/>
    <w:rsid w:val="00DE2705"/>
    <w:rsid w:val="00DE447E"/>
    <w:rsid w:val="00DE54D3"/>
    <w:rsid w:val="00DF1989"/>
    <w:rsid w:val="00DF1B96"/>
    <w:rsid w:val="00E03197"/>
    <w:rsid w:val="00E04F52"/>
    <w:rsid w:val="00E130ED"/>
    <w:rsid w:val="00E203D1"/>
    <w:rsid w:val="00E228DF"/>
    <w:rsid w:val="00E32874"/>
    <w:rsid w:val="00E3377E"/>
    <w:rsid w:val="00E5382F"/>
    <w:rsid w:val="00E80499"/>
    <w:rsid w:val="00E83067"/>
    <w:rsid w:val="00E92F29"/>
    <w:rsid w:val="00E9608F"/>
    <w:rsid w:val="00E9616C"/>
    <w:rsid w:val="00EB2191"/>
    <w:rsid w:val="00EC6B57"/>
    <w:rsid w:val="00EC722C"/>
    <w:rsid w:val="00ED4AD9"/>
    <w:rsid w:val="00F00BA5"/>
    <w:rsid w:val="00F03502"/>
    <w:rsid w:val="00F068EA"/>
    <w:rsid w:val="00F07535"/>
    <w:rsid w:val="00F11E8A"/>
    <w:rsid w:val="00F17441"/>
    <w:rsid w:val="00F17FA6"/>
    <w:rsid w:val="00F21FF2"/>
    <w:rsid w:val="00F430AE"/>
    <w:rsid w:val="00F4383D"/>
    <w:rsid w:val="00F460F0"/>
    <w:rsid w:val="00F64A1C"/>
    <w:rsid w:val="00F7051B"/>
    <w:rsid w:val="00F8363E"/>
    <w:rsid w:val="00FA7D4D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4EBC"/>
    <w:pPr>
      <w:suppressAutoHyphens w:val="0"/>
    </w:pPr>
    <w:rPr>
      <w:rFonts w:ascii="Calibri" w:hAnsi="Calibri" w:cs="Calibri"/>
      <w:sz w:val="22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suppressAutoHyphens/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suppressAutoHyphens/>
      <w:ind w:left="2024" w:right="2031"/>
      <w:jc w:val="center"/>
      <w:outlineLvl w:val="1"/>
    </w:pPr>
    <w:rPr>
      <w:rFonts w:asciiTheme="minorHAnsi" w:hAnsiTheme="minorHAnsi"/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6AA"/>
    <w:pPr>
      <w:keepNext/>
      <w:keepLines/>
      <w:widowControl w:val="0"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detexto">
    <w:name w:val="Body Text"/>
    <w:basedOn w:val="Normal"/>
    <w:uiPriority w:val="1"/>
    <w:qFormat/>
    <w:pPr>
      <w:widowControl w:val="0"/>
      <w:suppressAutoHyphens/>
    </w:pPr>
    <w:rPr>
      <w:rFonts w:asciiTheme="minorHAnsi" w:hAnsiTheme="minorHAnsi"/>
      <w:lang w:val="en-US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Theme="minorHAnsi" w:hAnsiTheme="minorHAnsi" w:cs="Lucida Sans"/>
      <w:i/>
      <w:iCs/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</w:pPr>
    <w:rPr>
      <w:rFonts w:asciiTheme="minorHAnsi" w:hAnsiTheme="minorHAnsi" w:cs="Lucida Sans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suppressAutoHyphens/>
      <w:ind w:left="101"/>
      <w:jc w:val="both"/>
    </w:pPr>
    <w:rPr>
      <w:rFonts w:asciiTheme="minorHAnsi" w:hAnsi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/>
      <w:ind w:left="3"/>
    </w:pPr>
    <w:rPr>
      <w:rFonts w:asciiTheme="minorHAnsi" w:hAnsiTheme="minorHAnsi"/>
      <w:lang w:val="en-US" w:eastAsia="en-US"/>
    </w:rPr>
  </w:style>
  <w:style w:type="paragraph" w:customStyle="1" w:styleId="CabealhoeRodap">
    <w:name w:val="Cabeçalho e Rodapé"/>
    <w:basedOn w:val="Normal"/>
    <w:qFormat/>
    <w:pPr>
      <w:widowControl w:val="0"/>
      <w:suppressAutoHyphens/>
    </w:pPr>
    <w:rPr>
      <w:rFonts w:asciiTheme="minorHAnsi" w:hAnsiTheme="minorHAnsi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E22C9"/>
    <w:pPr>
      <w:widowControl w:val="0"/>
      <w:tabs>
        <w:tab w:val="center" w:pos="4252"/>
        <w:tab w:val="right" w:pos="8504"/>
      </w:tabs>
      <w:suppressAutoHyphens/>
    </w:pPr>
    <w:rPr>
      <w:rFonts w:asciiTheme="minorHAnsi" w:hAnsiTheme="minorHAns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E22C9"/>
    <w:pPr>
      <w:widowControl w:val="0"/>
      <w:tabs>
        <w:tab w:val="center" w:pos="4252"/>
        <w:tab w:val="right" w:pos="8504"/>
      </w:tabs>
      <w:suppressAutoHyphens/>
    </w:pPr>
    <w:rPr>
      <w:rFonts w:asciiTheme="minorHAnsi" w:hAnsiTheme="minorHAns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pPr>
      <w:widowControl w:val="0"/>
      <w:suppressAutoHyphens/>
    </w:pPr>
    <w:rPr>
      <w:rFonts w:ascii="Tahoma" w:hAnsi="Tahoma" w:cs="Tahoma"/>
      <w:sz w:val="16"/>
      <w:szCs w:val="16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pPr>
      <w:widowControl w:val="0"/>
      <w:suppressAutoHyphens/>
    </w:pPr>
    <w:rPr>
      <w:rFonts w:asciiTheme="minorHAnsi" w:hAnsiTheme="minorHAns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</w:pPr>
    <w:rPr>
      <w:rFonts w:asciiTheme="minorHAnsi" w:hAnsiTheme="minorHAnsi"/>
      <w:lang w:val="en-US" w:eastAsia="en-US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16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Fontepargpadro"/>
    <w:rsid w:val="008148C0"/>
  </w:style>
  <w:style w:type="character" w:customStyle="1" w:styleId="eop">
    <w:name w:val="eop"/>
    <w:basedOn w:val="Fontepargpadro"/>
    <w:rsid w:val="008148C0"/>
  </w:style>
  <w:style w:type="character" w:customStyle="1" w:styleId="markedcontent">
    <w:name w:val="markedcontent"/>
    <w:basedOn w:val="Fontepargpadro"/>
    <w:rsid w:val="005849C7"/>
  </w:style>
  <w:style w:type="paragraph" w:customStyle="1" w:styleId="paragraph">
    <w:name w:val="paragraph"/>
    <w:basedOn w:val="Normal"/>
    <w:rsid w:val="00584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44A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35535"/>
    <w:rPr>
      <w:rFonts w:ascii="SegoeUI" w:hAnsi="SegoeUI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urpj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ubr.gov.br/moradiadig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4A16-839E-41F3-B3B1-14173F6E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1810</Words>
  <Characters>9778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22</cp:revision>
  <cp:lastPrinted>2017-05-11T17:11:00Z</cp:lastPrinted>
  <dcterms:created xsi:type="dcterms:W3CDTF">2023-05-08T14:39:00Z</dcterms:created>
  <dcterms:modified xsi:type="dcterms:W3CDTF">2023-05-10T18:30:00Z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