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comgrade"/>
        <w:tblW w:w="1018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36"/>
        <w:gridCol w:w="4110"/>
        <w:gridCol w:w="4242"/>
      </w:tblGrid>
      <w:tr>
        <w:trPr>
          <w:trHeight w:val="692" w:hRule="atLeast"/>
        </w:trPr>
        <w:tc>
          <w:tcPr>
            <w:tcW w:w="10188" w:type="dxa"/>
            <w:gridSpan w:val="3"/>
            <w:tcBorders/>
            <w:shd w:color="auto" w:fill="D9D9D9" w:themeFill="background1" w:themeFillShade="d9" w:val="clear"/>
            <w:vAlign w:val="center"/>
          </w:tcPr>
          <w:p>
            <w:pPr>
              <w:pStyle w:val="Normal"/>
              <w:widowControl w:val="false"/>
              <w:suppressAutoHyphens w:val="true"/>
              <w:spacing w:lineRule="auto" w:line="276" w:before="0" w:after="0"/>
              <w:jc w:val="center"/>
              <w:rPr>
                <w:lang w:val="pt-BR"/>
              </w:rPr>
            </w:pPr>
            <w:r>
              <w:rPr>
                <w:rFonts w:eastAsia="Calibri" w:ascii="Cambria" w:hAnsi="Cambria" w:asciiTheme="majorHAnsi" w:hAnsiTheme="majorHAnsi"/>
                <w:b/>
                <w:color w:val="000000" w:themeColor="text1"/>
                <w:kern w:val="0"/>
                <w:sz w:val="20"/>
                <w:szCs w:val="20"/>
                <w:lang w:val="pt-BR" w:eastAsia="en-US" w:bidi="ar-SA"/>
              </w:rPr>
              <w:t>COMISSÃO DE POLÍTICA URBANA E AMBIENTAL</w:t>
            </w:r>
          </w:p>
          <w:p>
            <w:pPr>
              <w:pStyle w:val="Normal"/>
              <w:widowControl w:val="false"/>
              <w:suppressLineNumbers/>
              <w:suppressAutoHyphens w:val="true"/>
              <w:spacing w:lineRule="auto" w:line="276" w:before="0" w:after="0"/>
              <w:jc w:val="center"/>
              <w:rPr>
                <w:lang w:val="pt-BR"/>
              </w:rPr>
            </w:pPr>
            <w:r>
              <w:rPr>
                <w:rFonts w:eastAsia="Calibri" w:cs="Times New Roman" w:ascii="Cambria" w:hAnsi="Cambria" w:asciiTheme="majorHAnsi" w:hAnsiTheme="majorHAnsi"/>
                <w:b/>
                <w:bCs/>
                <w:color w:val="000000" w:themeColor="text1"/>
                <w:kern w:val="0"/>
                <w:sz w:val="20"/>
                <w:szCs w:val="20"/>
                <w:lang w:val="pt-BR" w:eastAsia="en-US" w:bidi="ar-SA"/>
              </w:rPr>
              <w:t>SÚMULA DA 079ª REUNIÃO (ORDINÁRIA)</w:t>
            </w:r>
          </w:p>
        </w:tc>
      </w:tr>
      <w:tr>
        <w:trPr>
          <w:trHeight w:val="70" w:hRule="atLeast"/>
        </w:trPr>
        <w:tc>
          <w:tcPr>
            <w:tcW w:w="10188" w:type="dxa"/>
            <w:gridSpan w:val="3"/>
            <w:tcBorders>
              <w:left w:val="nil"/>
              <w:right w:val="nil"/>
            </w:tcBorders>
            <w:shd w:color="auto" w:fill="auto"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r>
      <w:tr>
        <w:trPr>
          <w:trHeight w:val="330" w:hRule="atLeast"/>
        </w:trPr>
        <w:tc>
          <w:tcPr>
            <w:tcW w:w="10188" w:type="dxa"/>
            <w:gridSpan w:val="3"/>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LOCAL E DATA:</w:t>
            </w:r>
          </w:p>
        </w:tc>
      </w:tr>
      <w:tr>
        <w:trPr>
          <w:trHeight w:val="330" w:hRule="atLeast"/>
        </w:trPr>
        <w:tc>
          <w:tcPr>
            <w:tcW w:w="1836" w:type="dxa"/>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DATA:</w:t>
            </w:r>
          </w:p>
        </w:tc>
        <w:tc>
          <w:tcPr>
            <w:tcW w:w="8352" w:type="dxa"/>
            <w:gridSpan w:val="2"/>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08 de maio de 2023.</w:t>
            </w:r>
          </w:p>
        </w:tc>
      </w:tr>
      <w:tr>
        <w:trPr>
          <w:trHeight w:val="330" w:hRule="atLeast"/>
        </w:trPr>
        <w:tc>
          <w:tcPr>
            <w:tcW w:w="1836" w:type="dxa"/>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LOCAL:</w:t>
            </w:r>
          </w:p>
        </w:tc>
        <w:tc>
          <w:tcPr>
            <w:tcW w:w="8352" w:type="dxa"/>
            <w:gridSpan w:val="2"/>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Reunião realizada em ambiente virtual, através de videoconferência.</w:t>
            </w:r>
          </w:p>
        </w:tc>
      </w:tr>
      <w:tr>
        <w:trPr>
          <w:trHeight w:val="330" w:hRule="atLeast"/>
        </w:trPr>
        <w:tc>
          <w:tcPr>
            <w:tcW w:w="1836" w:type="dxa"/>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HORÁRIO:</w:t>
            </w:r>
          </w:p>
        </w:tc>
        <w:tc>
          <w:tcPr>
            <w:tcW w:w="8352" w:type="dxa"/>
            <w:gridSpan w:val="2"/>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Convocação: 13h30min – 17h00min.</w:t>
            </w:r>
          </w:p>
        </w:tc>
      </w:tr>
      <w:tr>
        <w:trPr>
          <w:trHeight w:val="85" w:hRule="atLeast"/>
        </w:trPr>
        <w:tc>
          <w:tcPr>
            <w:tcW w:w="10188" w:type="dxa"/>
            <w:gridSpan w:val="3"/>
            <w:tcBorders>
              <w:left w:val="nil"/>
              <w:right w:val="nil"/>
            </w:tcBorders>
            <w:shd w:color="auto" w:fill="auto"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BFBFBF" w:themeColor="background1" w:themeShade="bf"/>
                <w:kern w:val="0"/>
                <w:sz w:val="20"/>
                <w:szCs w:val="20"/>
                <w:lang w:val="pt-BR" w:eastAsia="en-US" w:bidi="ar-SA"/>
              </w:rPr>
            </w:pPr>
            <w:r>
              <w:rPr>
                <w:rFonts w:eastAsia="Calibri" w:cs="Times New Roman" w:ascii="Cambria" w:hAnsi="Cambria"/>
                <w:color w:val="BFBFBF" w:themeColor="background1" w:themeShade="bf"/>
                <w:kern w:val="0"/>
                <w:sz w:val="20"/>
                <w:szCs w:val="20"/>
                <w:lang w:val="pt-BR" w:eastAsia="en-US" w:bidi="ar-SA"/>
              </w:rPr>
            </w:r>
          </w:p>
        </w:tc>
      </w:tr>
      <w:tr>
        <w:trPr>
          <w:trHeight w:val="330" w:hRule="atLeast"/>
        </w:trPr>
        <w:tc>
          <w:tcPr>
            <w:tcW w:w="10188" w:type="dxa"/>
            <w:gridSpan w:val="3"/>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PARTICIPAÇÃO:</w:t>
            </w:r>
          </w:p>
        </w:tc>
      </w:tr>
      <w:tr>
        <w:trPr>
          <w:trHeight w:val="330" w:hRule="atLeast"/>
        </w:trPr>
        <w:tc>
          <w:tcPr>
            <w:tcW w:w="1836" w:type="dxa"/>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PRESIDIDA POR:</w:t>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Fábio Almeida Vieira</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Coordenador CPUA-CAU/MG</w:t>
            </w:r>
          </w:p>
        </w:tc>
      </w:tr>
      <w:tr>
        <w:trPr>
          <w:trHeight w:val="330" w:hRule="atLeast"/>
        </w:trPr>
        <w:tc>
          <w:tcPr>
            <w:tcW w:w="1836" w:type="dxa"/>
            <w:vMerge w:val="restart"/>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PARTICIPANTES:</w:t>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Matheus Lopes Medeiros</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Suplente CPUA-CAU/MG</w:t>
            </w:r>
          </w:p>
        </w:tc>
      </w:tr>
      <w:tr>
        <w:trPr>
          <w:trHeight w:val="330" w:hRule="atLeast"/>
        </w:trPr>
        <w:tc>
          <w:tcPr>
            <w:tcW w:w="1836" w:type="dxa"/>
            <w:vMerge w:val="continue"/>
            <w:tcBorders/>
            <w:shd w:color="auto" w:fill="D9D9D9" w:themeFill="background1" w:themeFillShade="d9"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Adriane de Almeida Matthes</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Suplente da CPC-CAU/MG</w:t>
            </w:r>
          </w:p>
        </w:tc>
      </w:tr>
      <w:tr>
        <w:trPr>
          <w:trHeight w:val="330" w:hRule="atLeast"/>
        </w:trPr>
        <w:tc>
          <w:tcPr>
            <w:tcW w:w="1836" w:type="dxa"/>
            <w:vMerge w:val="continue"/>
            <w:tcBorders/>
            <w:shd w:color="auto" w:fill="D9D9D9" w:themeFill="background1" w:themeFillShade="d9"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Ademir Nogueira de Ávila</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Titular da CPC-CAU/MG</w:t>
            </w:r>
          </w:p>
        </w:tc>
      </w:tr>
      <w:tr>
        <w:trPr>
          <w:trHeight w:val="330" w:hRule="atLeast"/>
        </w:trPr>
        <w:tc>
          <w:tcPr>
            <w:tcW w:w="1836" w:type="dxa"/>
            <w:vMerge w:val="continue"/>
            <w:tcBorders/>
            <w:shd w:color="auto" w:fill="D9D9D9" w:themeFill="background1" w:themeFillShade="d9"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Fernanda Camargo Ferreira</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Suplente da CPC-CAU/MG</w:t>
            </w:r>
          </w:p>
        </w:tc>
      </w:tr>
      <w:tr>
        <w:trPr>
          <w:trHeight w:val="330" w:hRule="atLeast"/>
        </w:trPr>
        <w:tc>
          <w:tcPr>
            <w:tcW w:w="1836" w:type="dxa"/>
            <w:vMerge w:val="continue"/>
            <w:tcBorders/>
            <w:shd w:color="auto" w:fill="D9D9D9" w:themeFill="background1" w:themeFillShade="d9"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Rosilene Guedes Souza</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Titular da CATHIS-CAU/MG</w:t>
            </w:r>
          </w:p>
        </w:tc>
      </w:tr>
      <w:tr>
        <w:trPr>
          <w:trHeight w:val="330" w:hRule="atLeast"/>
        </w:trPr>
        <w:tc>
          <w:tcPr>
            <w:tcW w:w="1836" w:type="dxa"/>
            <w:vMerge w:val="continue"/>
            <w:tcBorders/>
            <w:shd w:color="auto" w:fill="D9D9D9" w:themeFill="background1" w:themeFillShade="d9"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Lucas Lima Leonel Fonseca</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Titular da CATHIS-CAU/MG</w:t>
            </w:r>
          </w:p>
        </w:tc>
      </w:tr>
      <w:tr>
        <w:trPr>
          <w:trHeight w:val="330" w:hRule="atLeast"/>
        </w:trPr>
        <w:tc>
          <w:tcPr>
            <w:tcW w:w="1836" w:type="dxa"/>
            <w:vMerge w:val="continue"/>
            <w:tcBorders/>
            <w:shd w:color="auto" w:fill="D9D9D9" w:themeFill="background1" w:themeFillShade="d9"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Felipe Colmanetti Moura</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Titular da CATHIS-CAU/MG</w:t>
            </w:r>
          </w:p>
        </w:tc>
      </w:tr>
      <w:tr>
        <w:trPr>
          <w:trHeight w:val="330" w:hRule="atLeast"/>
        </w:trPr>
        <w:tc>
          <w:tcPr>
            <w:tcW w:w="1836" w:type="dxa"/>
            <w:vMerge w:val="continue"/>
            <w:tcBorders/>
            <w:shd w:color="auto" w:fill="D9D9D9" w:themeFill="background1" w:themeFillShade="d9"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c>
          <w:tcPr>
            <w:tcW w:w="4110"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Claudia Bernadeth Ribeiro</w:t>
            </w:r>
          </w:p>
        </w:tc>
        <w:tc>
          <w:tcPr>
            <w:tcW w:w="4242" w:type="dxa"/>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Membro Suplente da CATHIS-CAU/MG</w:t>
            </w:r>
          </w:p>
        </w:tc>
      </w:tr>
      <w:tr>
        <w:trPr>
          <w:trHeight w:val="330" w:hRule="atLeast"/>
        </w:trPr>
        <w:tc>
          <w:tcPr>
            <w:tcW w:w="1836" w:type="dxa"/>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ASSESSORIA:</w:t>
            </w:r>
          </w:p>
        </w:tc>
        <w:tc>
          <w:tcPr>
            <w:tcW w:w="8352" w:type="dxa"/>
            <w:gridSpan w:val="2"/>
            <w:tcBorders/>
            <w:shd w:color="auto" w:fill="auto"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 xml:space="preserve">Diogo U. Braga </w:t>
            </w:r>
            <w:r>
              <w:rPr>
                <w:rFonts w:eastAsia="Calibri" w:cs="Times New Roman" w:ascii="Cambria" w:hAnsi="Cambria" w:asciiTheme="majorHAnsi" w:hAnsiTheme="majorHAnsi"/>
                <w:color w:val="000000" w:themeColor="text1"/>
                <w:kern w:val="0"/>
                <w:sz w:val="20"/>
                <w:szCs w:val="20"/>
                <w:lang w:val="pt-BR" w:eastAsia="en-US" w:bidi="ar-SA"/>
              </w:rPr>
              <w:t>e</w:t>
            </w:r>
            <w:r>
              <w:rPr>
                <w:rFonts w:eastAsia="Calibri" w:cs="Times New Roman" w:ascii="Cambria" w:hAnsi="Cambria" w:asciiTheme="majorHAnsi" w:hAnsiTheme="majorHAnsi"/>
                <w:b/>
                <w:color w:val="000000" w:themeColor="text1"/>
                <w:kern w:val="0"/>
                <w:sz w:val="20"/>
                <w:szCs w:val="20"/>
                <w:lang w:val="pt-BR" w:eastAsia="en-US" w:bidi="ar-SA"/>
              </w:rPr>
              <w:t xml:space="preserve"> Carolina M. de Oliveira Barbosa </w:t>
            </w:r>
            <w:r>
              <w:rPr>
                <w:rFonts w:eastAsia="Calibri" w:cs="Times New Roman" w:ascii="Cambria" w:hAnsi="Cambria" w:asciiTheme="majorHAnsi" w:hAnsiTheme="majorHAnsi"/>
                <w:color w:val="000000" w:themeColor="text1"/>
                <w:kern w:val="0"/>
                <w:sz w:val="20"/>
                <w:szCs w:val="20"/>
                <w:lang w:val="pt-BR" w:eastAsia="en-US" w:bidi="ar-SA"/>
              </w:rPr>
              <w:t>em acompanhamento do item 5 da pauta.</w:t>
            </w:r>
          </w:p>
        </w:tc>
      </w:tr>
      <w:tr>
        <w:trPr>
          <w:trHeight w:val="85" w:hRule="atLeast"/>
        </w:trPr>
        <w:tc>
          <w:tcPr>
            <w:tcW w:w="10188" w:type="dxa"/>
            <w:gridSpan w:val="3"/>
            <w:tcBorders>
              <w:left w:val="nil"/>
              <w:right w:val="nil"/>
            </w:tcBorders>
            <w:shd w:color="auto" w:fill="auto" w:val="clear"/>
            <w:vAlign w:val="center"/>
          </w:tcPr>
          <w:p>
            <w:pPr>
              <w:pStyle w:val="Normal"/>
              <w:widowControl w:val="false"/>
              <w:suppressLineNumbers/>
              <w:suppressAutoHyphens w:val="true"/>
              <w:spacing w:before="0" w:after="0"/>
              <w:jc w:val="both"/>
              <w:rPr>
                <w:rFonts w:ascii="Cambria" w:hAnsi="Cambria" w:eastAsia="Calibri" w:cs="Times New Roman" w:asciiTheme="majorHAnsi" w:hAnsiTheme="majorHAnsi"/>
                <w:color w:val="BFBFBF" w:themeColor="background1" w:themeShade="bf"/>
                <w:kern w:val="0"/>
                <w:sz w:val="20"/>
                <w:szCs w:val="20"/>
                <w:lang w:val="pt-BR" w:eastAsia="en-US" w:bidi="ar-SA"/>
              </w:rPr>
            </w:pPr>
            <w:r>
              <w:rPr>
                <w:rFonts w:eastAsia="Calibri" w:cs="Times New Roman" w:ascii="Cambria" w:hAnsi="Cambria"/>
                <w:color w:val="BFBFBF" w:themeColor="background1" w:themeShade="bf"/>
                <w:kern w:val="0"/>
                <w:sz w:val="20"/>
                <w:szCs w:val="20"/>
                <w:lang w:val="pt-BR" w:eastAsia="en-US" w:bidi="ar-SA"/>
              </w:rPr>
            </w:r>
          </w:p>
        </w:tc>
      </w:tr>
      <w:tr>
        <w:trPr>
          <w:trHeight w:val="330" w:hRule="atLeast"/>
        </w:trPr>
        <w:tc>
          <w:tcPr>
            <w:tcW w:w="10188" w:type="dxa"/>
            <w:gridSpan w:val="3"/>
            <w:tcBorders/>
            <w:shd w:color="auto" w:fill="D9D9D9" w:themeFill="background1" w:themeFillShade="d9" w:val="clear"/>
            <w:vAlign w:val="center"/>
          </w:tcPr>
          <w:p>
            <w:pPr>
              <w:pStyle w:val="Normal"/>
              <w:widowControl w:val="false"/>
              <w:suppressLineNumbers/>
              <w:suppressAutoHyphens w:val="true"/>
              <w:spacing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PAUTA:</w:t>
            </w:r>
          </w:p>
        </w:tc>
      </w:tr>
      <w:tr>
        <w:trPr>
          <w:trHeight w:val="3197" w:hRule="atLeast"/>
        </w:trPr>
        <w:tc>
          <w:tcPr>
            <w:tcW w:w="10188" w:type="dxa"/>
            <w:gridSpan w:val="3"/>
            <w:tcBorders/>
            <w:shd w:color="auto" w:fill="auto" w:val="clear"/>
            <w:vAlign w:val="center"/>
          </w:tcPr>
          <w:p>
            <w:pPr>
              <w:pStyle w:val="Normal"/>
              <w:widowControl w:val="false"/>
              <w:suppressLineNumbers/>
              <w:suppressAutoHyphens w:val="true"/>
              <w:spacing w:lineRule="auto" w:line="360" w:before="0" w:after="0"/>
              <w:jc w:val="both"/>
              <w:rPr>
                <w:rFonts w:ascii="Cambria" w:hAnsi="Cambria" w:eastAsia="Calibri" w:cs="Times New Roman" w:asciiTheme="majorHAnsi" w:hAnsiTheme="majorHAnsi"/>
                <w:b/>
                <w:color w:val="000000" w:themeColor="text1"/>
                <w:kern w:val="0"/>
                <w:sz w:val="20"/>
                <w:szCs w:val="20"/>
                <w:lang w:val="pt-BR" w:eastAsia="en-US" w:bidi="ar-SA"/>
              </w:rPr>
            </w:pPr>
            <w:r>
              <w:rPr>
                <w:rFonts w:eastAsia="Calibri" w:cs="Times New Roman" w:ascii="Cambria" w:hAnsi="Cambria"/>
                <w:b/>
                <w:color w:val="000000" w:themeColor="text1"/>
                <w:kern w:val="0"/>
                <w:sz w:val="20"/>
                <w:szCs w:val="20"/>
                <w:lang w:val="pt-BR" w:eastAsia="en-US" w:bidi="ar-SA"/>
              </w:rPr>
            </w:r>
          </w:p>
          <w:p>
            <w:pPr>
              <w:pStyle w:val="Normal"/>
              <w:widowControl w:val="false"/>
              <w:suppressLineNumbers/>
              <w:suppressAutoHyphens w:val="true"/>
              <w:spacing w:lineRule="auto" w:line="360"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Verificação de quórum.</w:t>
            </w:r>
          </w:p>
          <w:p>
            <w:pPr>
              <w:pStyle w:val="Normal"/>
              <w:widowControl w:val="false"/>
              <w:suppressAutoHyphens w:val="false"/>
              <w:spacing w:lineRule="auto" w:line="360" w:before="0" w:after="0"/>
              <w:jc w:val="left"/>
              <w:rPr>
                <w:lang w:val="pt-BR"/>
              </w:rPr>
            </w:pPr>
            <w:r>
              <w:rPr>
                <w:rFonts w:eastAsia="Calibri" w:cs="Times New Roman" w:ascii="Cambria" w:hAnsi="Cambria" w:asciiTheme="majorHAnsi" w:hAnsiTheme="majorHAnsi"/>
                <w:b/>
                <w:color w:val="000000" w:themeColor="text1"/>
                <w:kern w:val="0"/>
                <w:sz w:val="20"/>
                <w:szCs w:val="20"/>
                <w:lang w:val="pt-BR" w:eastAsia="en-US" w:bidi="ar-SA"/>
              </w:rPr>
              <w:t>Comunicados:</w:t>
            </w:r>
          </w:p>
          <w:p>
            <w:pPr>
              <w:pStyle w:val="Normal"/>
              <w:widowControl w:val="false"/>
              <w:suppressAutoHyphens w:val="false"/>
              <w:spacing w:lineRule="auto" w:line="360" w:before="0" w:after="0"/>
              <w:jc w:val="left"/>
              <w:rPr>
                <w:lang w:val="pt-BR"/>
              </w:rPr>
            </w:pPr>
            <w:r>
              <w:rPr>
                <w:rFonts w:eastAsia="Calibri" w:cs="Times New Roman" w:ascii="Cambria" w:hAnsi="Cambria" w:asciiTheme="majorHAnsi" w:hAnsiTheme="majorHAnsi"/>
                <w:b/>
                <w:color w:val="000000" w:themeColor="text1"/>
                <w:kern w:val="0"/>
                <w:sz w:val="20"/>
                <w:szCs w:val="20"/>
                <w:lang w:val="pt-BR" w:eastAsia="en-US" w:bidi="ar-SA"/>
              </w:rPr>
              <w:t>Aprovação de documentos da reunião anterior</w:t>
            </w:r>
          </w:p>
          <w:p>
            <w:pPr>
              <w:pStyle w:val="Normal"/>
              <w:widowControl w:val="false"/>
              <w:suppressAutoHyphens w:val="true"/>
              <w:spacing w:lineRule="auto" w:line="360" w:before="0" w:after="0"/>
              <w:jc w:val="both"/>
              <w:rPr>
                <w:lang w:val="pt-BR"/>
              </w:rPr>
            </w:pPr>
            <w:r>
              <w:rPr>
                <w:rFonts w:eastAsia="Calibri" w:ascii="Cambria" w:hAnsi="Cambria" w:asciiTheme="majorHAnsi" w:hAnsiTheme="majorHAnsi"/>
                <w:b/>
                <w:color w:val="000000" w:themeColor="text1"/>
                <w:kern w:val="0"/>
                <w:sz w:val="20"/>
                <w:szCs w:val="20"/>
                <w:lang w:val="pt-BR" w:eastAsia="en-US" w:bidi="ar-SA"/>
              </w:rPr>
              <w:t>Ordem do Dia:</w:t>
            </w:r>
          </w:p>
          <w:p>
            <w:pPr>
              <w:pStyle w:val="ListParagraph"/>
              <w:widowControl w:val="false"/>
              <w:numPr>
                <w:ilvl w:val="0"/>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 xml:space="preserve">Finalização dos Editais a serem lançados pela Comissão: </w:t>
            </w:r>
          </w:p>
          <w:p>
            <w:pPr>
              <w:pStyle w:val="ListParagraph"/>
              <w:widowControl w:val="false"/>
              <w:numPr>
                <w:ilvl w:val="1"/>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 xml:space="preserve">Premiação de Boas Práticas Urbanas; </w:t>
            </w:r>
          </w:p>
          <w:p>
            <w:pPr>
              <w:pStyle w:val="ListParagraph"/>
              <w:widowControl w:val="false"/>
              <w:numPr>
                <w:ilvl w:val="1"/>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 xml:space="preserve">Curso de capacitação em Regularização Fundiária. </w:t>
            </w:r>
          </w:p>
          <w:p>
            <w:pPr>
              <w:pStyle w:val="ListParagraph"/>
              <w:widowControl w:val="false"/>
              <w:numPr>
                <w:ilvl w:val="0"/>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Acompanhamento das ações previstas no Plano de Ação da CPUA-CAU/MG;</w:t>
            </w:r>
          </w:p>
          <w:p>
            <w:pPr>
              <w:pStyle w:val="ListParagraph"/>
              <w:widowControl w:val="false"/>
              <w:numPr>
                <w:ilvl w:val="0"/>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 xml:space="preserve">Procedimento de Aprovação de Projetos em Conselheiro Lafaiete (Participação do Conselheiro Federal); </w:t>
            </w:r>
          </w:p>
          <w:p>
            <w:pPr>
              <w:pStyle w:val="ListParagraph"/>
              <w:widowControl w:val="false"/>
              <w:numPr>
                <w:ilvl w:val="0"/>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 xml:space="preserve">Ação Direta de Inconstitucionalidade no Plano diretor de Belo Horizonte. </w:t>
            </w:r>
          </w:p>
          <w:p>
            <w:pPr>
              <w:pStyle w:val="ListParagraph"/>
              <w:widowControl w:val="false"/>
              <w:numPr>
                <w:ilvl w:val="0"/>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Definições sobre Seminário Conjunto com CPC-CAU/MG e CATHIS-CAU/MG.</w:t>
            </w:r>
          </w:p>
          <w:p>
            <w:pPr>
              <w:pStyle w:val="ListParagraph"/>
              <w:widowControl w:val="false"/>
              <w:numPr>
                <w:ilvl w:val="0"/>
                <w:numId w:val="2"/>
              </w:numPr>
              <w:suppressAutoHyphens w:val="false"/>
              <w:spacing w:lineRule="auto" w:line="360" w:before="0" w:after="0"/>
              <w:rPr>
                <w:lang w:val="pt-BR"/>
              </w:rPr>
            </w:pPr>
            <w:r>
              <w:rPr>
                <w:rFonts w:eastAsia="Calibri" w:ascii="Cambria" w:hAnsi="Cambria" w:asciiTheme="majorHAnsi" w:hAnsiTheme="majorHAnsi"/>
                <w:color w:val="000000" w:themeColor="text1"/>
                <w:kern w:val="0"/>
                <w:sz w:val="20"/>
                <w:szCs w:val="20"/>
                <w:lang w:val="pt-BR" w:eastAsia="en-US" w:bidi="ar-SA"/>
              </w:rPr>
              <w:t>Outros Assuntos.</w:t>
            </w:r>
          </w:p>
          <w:p>
            <w:pPr>
              <w:pStyle w:val="Normal"/>
              <w:widowControl w:val="false"/>
              <w:suppressAutoHyphens w:val="false"/>
              <w:spacing w:lineRule="auto" w:line="360" w:before="0" w:after="0"/>
              <w:jc w:val="left"/>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p>
            <w:pPr>
              <w:pStyle w:val="Normal"/>
              <w:widowControl w:val="false"/>
              <w:suppressLineNumbers/>
              <w:suppressAutoHyphens w:val="true"/>
              <w:spacing w:lineRule="auto" w:line="360" w:before="0" w:after="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Encerramento.</w:t>
            </w:r>
          </w:p>
          <w:p>
            <w:pPr>
              <w:pStyle w:val="Normal"/>
              <w:widowControl w:val="false"/>
              <w:suppressLineNumbers/>
              <w:suppressAutoHyphens w:val="true"/>
              <w:spacing w:lineRule="auto" w:line="360" w:before="0" w:after="0"/>
              <w:jc w:val="both"/>
              <w:rPr>
                <w:rFonts w:ascii="Cambria" w:hAnsi="Cambria" w:eastAsia="Calibri" w:cs="Times New Roman" w:asciiTheme="majorHAnsi" w:hAnsiTheme="majorHAnsi"/>
                <w:b/>
                <w:color w:val="000000" w:themeColor="text1"/>
                <w:kern w:val="0"/>
                <w:sz w:val="20"/>
                <w:szCs w:val="20"/>
                <w:lang w:val="pt-BR" w:eastAsia="en-US" w:bidi="ar-SA"/>
              </w:rPr>
            </w:pPr>
            <w:r>
              <w:rPr>
                <w:rFonts w:eastAsia="Calibri" w:cs="Times New Roman" w:ascii="Cambria" w:hAnsi="Cambria"/>
                <w:b/>
                <w:color w:val="000000" w:themeColor="text1"/>
                <w:kern w:val="0"/>
                <w:sz w:val="20"/>
                <w:szCs w:val="20"/>
                <w:lang w:val="pt-BR" w:eastAsia="en-US" w:bidi="ar-SA"/>
              </w:rPr>
            </w:r>
          </w:p>
        </w:tc>
      </w:tr>
    </w:tbl>
    <w:p>
      <w:pPr>
        <w:pStyle w:val="Normal"/>
        <w:rPr>
          <w:rFonts w:ascii="Cambria" w:hAnsi="Cambria" w:asciiTheme="majorHAnsi" w:hAnsiTheme="majorHAnsi"/>
          <w:color w:val="BFBFBF" w:themeColor="background1" w:themeShade="bf"/>
          <w:sz w:val="20"/>
          <w:szCs w:val="20"/>
          <w:highlight w:val="yellow"/>
          <w:lang w:val="pt-BR"/>
        </w:rPr>
      </w:pPr>
      <w:r>
        <w:rPr>
          <w:rFonts w:asciiTheme="majorHAnsi" w:hAnsiTheme="majorHAnsi" w:ascii="Cambria" w:hAnsi="Cambria"/>
          <w:color w:val="BFBFBF" w:themeColor="background1" w:themeShade="bf"/>
          <w:sz w:val="20"/>
          <w:szCs w:val="20"/>
          <w:highlight w:val="yellow"/>
          <w:lang w:val="pt-BR"/>
        </w:rPr>
      </w:r>
    </w:p>
    <w:p>
      <w:pPr>
        <w:pStyle w:val="Normal"/>
        <w:widowControl/>
        <w:rPr>
          <w:rFonts w:ascii="Cambria" w:hAnsi="Cambria" w:asciiTheme="majorHAnsi" w:hAnsiTheme="majorHAnsi"/>
          <w:color w:val="BFBFBF" w:themeColor="background1" w:themeShade="bf"/>
          <w:sz w:val="20"/>
          <w:szCs w:val="20"/>
          <w:highlight w:val="yellow"/>
          <w:lang w:val="pt-BR"/>
        </w:rPr>
      </w:pPr>
      <w:r>
        <w:rPr>
          <w:rFonts w:asciiTheme="majorHAnsi" w:hAnsiTheme="majorHAnsi" w:ascii="Cambria" w:hAnsi="Cambria"/>
          <w:color w:val="BFBFBF" w:themeColor="background1" w:themeShade="bf"/>
          <w:sz w:val="20"/>
          <w:szCs w:val="20"/>
          <w:highlight w:val="yellow"/>
          <w:lang w:val="pt-BR"/>
        </w:rPr>
      </w:r>
      <w:r>
        <w:br w:type="page"/>
      </w:r>
    </w:p>
    <w:tbl>
      <w:tblPr>
        <w:tblStyle w:val="Tabelacomgrade2"/>
        <w:tblW w:w="1020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03"/>
      </w:tblGrid>
      <w:tr>
        <w:trPr>
          <w:trHeight w:val="330" w:hRule="atLeast"/>
        </w:trPr>
        <w:tc>
          <w:tcPr>
            <w:tcW w:w="10203" w:type="dxa"/>
            <w:tcBorders/>
            <w:shd w:color="auto" w:fill="D9D9D9" w:themeFill="background1" w:themeFillShade="d9" w:val="clear"/>
            <w:vAlign w:val="center"/>
          </w:tcPr>
          <w:p>
            <w:pPr>
              <w:pStyle w:val="Normal"/>
              <w:pageBreakBefore/>
              <w:widowControl w:val="false"/>
              <w:suppressAutoHyphens w:val="false"/>
              <w:spacing w:lineRule="atLeast" w:line="25" w:before="0" w:after="0"/>
              <w:jc w:val="left"/>
              <w:rPr>
                <w:lang w:val="pt-BR"/>
              </w:rPr>
            </w:pPr>
            <w:r>
              <w:rPr>
                <w:rFonts w:eastAsia="Calibri" w:cs="Times New Roman" w:ascii="Cambria" w:hAnsi="Cambria" w:asciiTheme="majorHAnsi" w:hAnsiTheme="majorHAnsi"/>
                <w:b/>
                <w:color w:val="000000" w:themeColor="text1"/>
                <w:kern w:val="0"/>
                <w:sz w:val="20"/>
                <w:szCs w:val="20"/>
                <w:lang w:val="pt-BR" w:eastAsia="en-US" w:bidi="ar-SA"/>
              </w:rPr>
              <w:t>DETALHAMENTO DOS ASSUNTOS TRATADOS:</w:t>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000000" w:themeColor="text1"/>
                <w:kern w:val="0"/>
                <w:sz w:val="20"/>
                <w:szCs w:val="20"/>
                <w:highlight w:val="yellow"/>
                <w:lang w:val="pt-BR" w:eastAsia="en-US" w:bidi="ar-SA"/>
              </w:rPr>
            </w:pPr>
            <w:r>
              <w:rPr>
                <w:rFonts w:eastAsia="Calibri" w:ascii="Cambria" w:hAnsi="Cambria"/>
                <w:color w:val="000000" w:themeColor="text1"/>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VERIFICAÇÃO DE QUÓRUM</w:t>
            </w:r>
          </w:p>
        </w:tc>
      </w:tr>
      <w:tr>
        <w:trPr>
          <w:trHeight w:val="550" w:hRule="atLeast"/>
        </w:trPr>
        <w:tc>
          <w:tcPr>
            <w:tcW w:w="10203" w:type="dxa"/>
            <w:tcBorders/>
            <w:shd w:color="auto" w:fill="auto" w:val="clear"/>
            <w:vAlign w:val="center"/>
          </w:tcPr>
          <w:p>
            <w:pPr>
              <w:pStyle w:val="Normal"/>
              <w:widowControl w:val="false"/>
              <w:suppressLineNumbers/>
              <w:suppressAutoHyphens w:val="fals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Foi verificado o quórum às 13h50min com a presença dos Conselheiros Fábio Almeida Vieira e Matheus Lopes Medeiros. O início da reunião se deu com os debates referente ao item 5 da pauta “Definições sobre Seminário Conjunto com CPC-CAU/MG e CATHIS-CAU/MG”, também com a presença dos Conselheiros da CPC-CAU/MG e CATHIS-CAU/MG. </w:t>
            </w:r>
          </w:p>
          <w:p>
            <w:pPr>
              <w:pStyle w:val="Normal"/>
              <w:widowControl w:val="false"/>
              <w:suppressLineNumbers/>
              <w:suppressAutoHyphens w:val="fals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LineNumbers/>
              <w:suppressAutoHyphens w:val="fals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Da CPC-CAU/MG estiveram presentes o(a)s Conselheiro(a)s: a) Fernanda Camargo Ferreira; b) Adriane de Almeida Matthes; e c) Ademir Nogueira de Avila. Esteve presente também a Arquiteta Analista da CPC-CAU/MG, Carolina Martins de Oliveira Barbosa.</w:t>
            </w:r>
          </w:p>
          <w:p>
            <w:pPr>
              <w:pStyle w:val="Normal"/>
              <w:widowControl w:val="false"/>
              <w:suppressLineNumbers/>
              <w:suppressAutoHyphens w:val="false"/>
              <w:spacing w:before="0" w:after="0"/>
              <w:jc w:val="both"/>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LineNumbers/>
              <w:suppressAutoHyphens w:val="fals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Da CPUA-CAU/MG estiveram presentes o(a)s Conselheiro(a)s: a) Rosilene Guedes Souza; b) Lucas Lima Leonel Fonseca; c) Felipe Colmanetti Moura; e d) Claudia Bernadeth Ribeiro. Após o debate deste item de pauta, findo às 14h50min, os representantes da CPC-CAU/MG e CATHIS-CAU/MG se retiraram e a CPUA-CAU/MG procedeu com sua reunião normal abordando os demais itens de pauta.</w:t>
            </w:r>
            <w:r>
              <w:rPr>
                <w:rFonts w:eastAsia="Calibri" w:ascii="Cambria" w:hAnsi="Cambria" w:asciiTheme="majorHAnsi" w:hAnsiTheme="majorHAnsi"/>
                <w:kern w:val="0"/>
                <w:sz w:val="20"/>
                <w:szCs w:val="20"/>
                <w:lang w:val="pt-BR" w:eastAsia="en-US" w:bidi="ar-SA"/>
              </w:rPr>
              <w:t xml:space="preserve"> </w:t>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BFBFBF" w:themeColor="background1" w:themeShade="bf"/>
                <w:kern w:val="0"/>
                <w:sz w:val="20"/>
                <w:szCs w:val="20"/>
                <w:highlight w:val="yellow"/>
                <w:lang w:val="pt-BR" w:eastAsia="en-US" w:bidi="ar-SA"/>
              </w:rPr>
            </w:pPr>
            <w:r>
              <w:rPr>
                <w:rFonts w:eastAsia="Calibri" w:ascii="Cambria" w:hAnsi="Cambria"/>
                <w:color w:val="BFBFBF" w:themeColor="background1" w:themeShade="bf"/>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Normal"/>
              <w:widowControl w:val="false"/>
              <w:suppressLineNumbers/>
              <w:suppressAutoHyphens w:val="false"/>
              <w:spacing w:before="0" w:after="0"/>
              <w:jc w:val="left"/>
              <w:rPr>
                <w:lang w:val="pt-BR"/>
              </w:rPr>
            </w:pPr>
            <w:r>
              <w:rPr>
                <w:rFonts w:eastAsia="Calibri" w:ascii="Cambria" w:hAnsi="Cambria" w:asciiTheme="majorHAnsi" w:hAnsiTheme="majorHAnsi"/>
                <w:color w:val="000000" w:themeColor="text1"/>
                <w:kern w:val="0"/>
                <w:sz w:val="20"/>
                <w:szCs w:val="20"/>
                <w:lang w:val="pt-BR" w:eastAsia="en-US" w:bidi="ar-SA"/>
              </w:rPr>
              <w:t xml:space="preserve">Comunicados. </w:t>
            </w:r>
          </w:p>
        </w:tc>
      </w:tr>
      <w:tr>
        <w:trPr>
          <w:trHeight w:val="550" w:hRule="atLeast"/>
        </w:trPr>
        <w:tc>
          <w:tcPr>
            <w:tcW w:w="10203" w:type="dxa"/>
            <w:tcBorders/>
            <w:shd w:color="auto" w:fill="auto" w:val="clear"/>
            <w:vAlign w:val="center"/>
          </w:tcPr>
          <w:p>
            <w:pPr>
              <w:pStyle w:val="ListParagraph"/>
              <w:widowControl w:val="false"/>
              <w:suppressLineNumbers/>
              <w:suppressAutoHyphens w:val="false"/>
              <w:spacing w:before="0" w:after="0"/>
              <w:ind w:left="720" w:hanging="0"/>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ListParagraph"/>
              <w:widowControl w:val="false"/>
              <w:numPr>
                <w:ilvl w:val="0"/>
                <w:numId w:val="4"/>
              </w:numPr>
              <w:suppressLineNumbers/>
              <w:suppressAutoHyphens w:val="false"/>
              <w:spacing w:before="0" w:after="0"/>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O Conselheiro Coordenador comunicou que estará presente no evento da AMM como representante da CPUA-CAU/MG na tentativa de fazer uma aproximação com os gestores que também estarão presentes. </w:t>
            </w:r>
          </w:p>
          <w:p>
            <w:pPr>
              <w:pStyle w:val="ListParagraph"/>
              <w:widowControl w:val="false"/>
              <w:numPr>
                <w:ilvl w:val="0"/>
                <w:numId w:val="4"/>
              </w:numPr>
              <w:suppressLineNumbers/>
              <w:suppressAutoHyphens w:val="true"/>
              <w:spacing w:before="0" w:after="0"/>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O Assessor Diogo informou que, por conta da vedação do uso do Whatsapp Pessoal pelos funcionários, pode ser contatado de maneira mais célere pelo aplicativo do programa Teams que possui funcionalidade similar, podendo ser utilizado, inclusive por aplicativo de celular. </w:t>
            </w:r>
          </w:p>
          <w:p>
            <w:pPr>
              <w:pStyle w:val="ListParagraph"/>
              <w:widowControl w:val="false"/>
              <w:numPr>
                <w:ilvl w:val="0"/>
                <w:numId w:val="4"/>
              </w:numPr>
              <w:suppressLineNumbers/>
              <w:suppressAutoHyphens w:val="false"/>
              <w:spacing w:before="0" w:after="0"/>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O Assessor Diogo explicitou sobre a necessidade de inclusão da assinatura do Coordenador da Comissão nos documentos emitidos pela CPUA-CAU/MG. Ficou definido, portanto, que o assessor encaminhará a documentação por e-mail e o Coordenador incluirá sua assinatura e realizar alterações na documentação, se necessário. </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808080" w:themeColor="background1" w:themeShade="80"/>
                <w:kern w:val="0"/>
                <w:sz w:val="20"/>
                <w:szCs w:val="20"/>
                <w:highlight w:val="yellow"/>
                <w:lang w:val="pt-BR" w:eastAsia="en-US" w:bidi="ar-SA"/>
              </w:rPr>
            </w:pPr>
            <w:r>
              <w:rPr>
                <w:rFonts w:eastAsia="Calibri" w:ascii="Cambria" w:hAnsi="Cambria"/>
                <w:color w:val="808080" w:themeColor="background1" w:themeShade="80"/>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Normal"/>
              <w:widowControl w:val="false"/>
              <w:suppressAutoHyphens w:val="false"/>
              <w:spacing w:lineRule="auto" w:line="360" w:before="0" w:after="0"/>
              <w:jc w:val="left"/>
              <w:rPr>
                <w:lang w:val="pt-BR"/>
              </w:rPr>
            </w:pPr>
            <w:r>
              <w:rPr>
                <w:rFonts w:eastAsia="Calibri" w:ascii="Cambria" w:hAnsi="Cambria" w:asciiTheme="majorHAnsi" w:hAnsiTheme="majorHAnsi"/>
                <w:color w:val="000000" w:themeColor="text1"/>
                <w:kern w:val="0"/>
                <w:sz w:val="20"/>
                <w:szCs w:val="20"/>
                <w:lang w:val="pt-BR" w:eastAsia="en-US" w:bidi="ar-SA"/>
              </w:rPr>
              <w:t>Aprovação de documentos da reunião anterior.</w:t>
            </w:r>
          </w:p>
        </w:tc>
      </w:tr>
      <w:tr>
        <w:trPr>
          <w:trHeight w:val="550" w:hRule="atLeast"/>
        </w:trPr>
        <w:tc>
          <w:tcPr>
            <w:tcW w:w="10203" w:type="dxa"/>
            <w:tcBorders/>
            <w:shd w:color="auto" w:fill="auto" w:val="clear"/>
            <w:vAlign w:val="center"/>
          </w:tcPr>
          <w:p>
            <w:pPr>
              <w:pStyle w:val="Normal"/>
              <w:widowControl w:val="false"/>
              <w:suppressAutoHyphens w:val="false"/>
              <w:spacing w:before="0" w:after="0"/>
              <w:jc w:val="both"/>
              <w:rPr>
                <w:lang w:val="pt-BR"/>
              </w:rPr>
            </w:pPr>
            <w:r>
              <w:rPr>
                <w:rFonts w:eastAsia="Calibri" w:ascii="Cambria" w:hAnsi="Cambria" w:asciiTheme="majorHAnsi" w:hAnsiTheme="majorHAnsi"/>
                <w:color w:val="000000" w:themeColor="text1"/>
                <w:kern w:val="0"/>
                <w:sz w:val="20"/>
                <w:szCs w:val="20"/>
                <w:lang w:val="pt-BR" w:eastAsia="en-US" w:bidi="ar-SA"/>
              </w:rPr>
              <w:t>Os documentos emitidos na 78ª reunião ordinária foram aprovados durante a reunião e constam na pasta da nuvem da reunião da CPUA-CAU/MG.</w:t>
            </w:r>
          </w:p>
        </w:tc>
      </w:tr>
      <w:tr>
        <w:trPr>
          <w:trHeight w:val="54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808080" w:themeColor="background1" w:themeShade="80"/>
                <w:kern w:val="0"/>
                <w:sz w:val="20"/>
                <w:szCs w:val="20"/>
                <w:highlight w:val="yellow"/>
                <w:lang w:val="pt-BR" w:eastAsia="en-US" w:bidi="ar-SA"/>
              </w:rPr>
            </w:pPr>
            <w:r>
              <w:rPr>
                <w:rFonts w:eastAsia="Calibri" w:ascii="Cambria" w:hAnsi="Cambria"/>
                <w:color w:val="808080" w:themeColor="background1" w:themeShade="80"/>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ORDEM DO DIA:</w:t>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BFBFBF" w:themeColor="background1" w:themeShade="bf"/>
                <w:kern w:val="0"/>
                <w:sz w:val="20"/>
                <w:szCs w:val="20"/>
                <w:highlight w:val="yellow"/>
                <w:lang w:val="pt-BR" w:eastAsia="en-US" w:bidi="ar-SA"/>
              </w:rPr>
            </w:pPr>
            <w:r>
              <w:rPr>
                <w:rFonts w:eastAsia="Calibri" w:ascii="Cambria" w:hAnsi="Cambria"/>
                <w:color w:val="BFBFBF" w:themeColor="background1" w:themeShade="bf"/>
                <w:kern w:val="0"/>
                <w:sz w:val="20"/>
                <w:szCs w:val="20"/>
                <w:highlight w:val="yellow"/>
                <w:lang w:val="pt-BR" w:eastAsia="en-US" w:bidi="ar-SA"/>
              </w:rPr>
            </w:r>
          </w:p>
          <w:p>
            <w:pPr>
              <w:pStyle w:val="Normal"/>
              <w:widowControl w:val="false"/>
              <w:suppressAutoHyphens w:val="false"/>
              <w:spacing w:before="0" w:after="0"/>
              <w:jc w:val="left"/>
              <w:rPr>
                <w:rFonts w:ascii="Cambria" w:hAnsi="Cambria" w:eastAsia="Calibri" w:asciiTheme="majorHAnsi" w:hAnsiTheme="majorHAnsi"/>
                <w:color w:val="BFBFBF" w:themeColor="background1" w:themeShade="bf"/>
                <w:kern w:val="0"/>
                <w:sz w:val="20"/>
                <w:szCs w:val="20"/>
                <w:highlight w:val="yellow"/>
                <w:lang w:val="pt-BR" w:eastAsia="en-US" w:bidi="ar-SA"/>
              </w:rPr>
            </w:pPr>
            <w:r>
              <w:rPr>
                <w:rFonts w:eastAsia="Calibri" w:ascii="Cambria" w:hAnsi="Cambria"/>
                <w:color w:val="BFBFBF" w:themeColor="background1" w:themeShade="bf"/>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ListParagraph"/>
              <w:widowControl w:val="false"/>
              <w:numPr>
                <w:ilvl w:val="0"/>
                <w:numId w:val="1"/>
              </w:numPr>
              <w:suppressLineNumbers/>
              <w:suppressAutoHyphens w:val="false"/>
              <w:spacing w:before="0" w:after="0"/>
              <w:ind w:left="454" w:hanging="425"/>
              <w:rPr>
                <w:lang w:val="pt-BR"/>
              </w:rPr>
            </w:pPr>
            <w:r>
              <w:rPr>
                <w:rFonts w:eastAsia="Calibri" w:ascii="Cambria" w:hAnsi="Cambria" w:asciiTheme="majorHAnsi" w:hAnsiTheme="majorHAnsi"/>
                <w:color w:val="000000" w:themeColor="text1"/>
                <w:kern w:val="0"/>
                <w:sz w:val="20"/>
                <w:szCs w:val="20"/>
                <w:lang w:val="pt-BR" w:eastAsia="en-US" w:bidi="ar-SA"/>
              </w:rPr>
              <w:t xml:space="preserve"> </w:t>
            </w:r>
            <w:r>
              <w:rPr>
                <w:rFonts w:eastAsia="Calibri" w:ascii="Cambria" w:hAnsi="Cambria" w:asciiTheme="majorHAnsi" w:hAnsiTheme="majorHAnsi"/>
                <w:color w:val="000000" w:themeColor="text1"/>
                <w:kern w:val="0"/>
                <w:sz w:val="20"/>
                <w:szCs w:val="20"/>
                <w:lang w:val="pt-BR" w:eastAsia="en-US" w:bidi="ar-SA"/>
              </w:rPr>
              <w:t>Finalização dos Editais a serem lançados pela Comissão:</w:t>
            </w:r>
          </w:p>
        </w:tc>
      </w:tr>
      <w:tr>
        <w:trPr>
          <w:trHeight w:val="1252" w:hRule="atLeast"/>
        </w:trPr>
        <w:tc>
          <w:tcPr>
            <w:tcW w:w="10203" w:type="dxa"/>
            <w:tcBorders/>
            <w:shd w:color="auto" w:fill="auto" w:val="clear"/>
            <w:vAlign w:val="center"/>
          </w:tcPr>
          <w:p>
            <w:pPr>
              <w:pStyle w:val="Normal"/>
              <w:widowControl w:val="false"/>
              <w:suppressLineNumbers/>
              <w:suppressAutoHyphens w:val="false"/>
              <w:spacing w:before="0" w:after="0"/>
              <w:jc w:val="both"/>
              <w:rPr>
                <w:rFonts w:ascii="Cambria" w:hAnsi="Cambria" w:eastAsia="Calibri" w:asciiTheme="majorHAnsi" w:hAnsiTheme="majorHAnsi"/>
                <w:color w:val="808080" w:themeColor="background1" w:themeShade="80"/>
                <w:kern w:val="0"/>
                <w:sz w:val="20"/>
                <w:szCs w:val="20"/>
                <w:lang w:val="pt-BR" w:eastAsia="en-US" w:bidi="ar-SA"/>
              </w:rPr>
            </w:pPr>
            <w:r>
              <w:rPr>
                <w:rFonts w:eastAsia="Calibri" w:ascii="Cambria" w:hAnsi="Cambria"/>
                <w:color w:val="808080" w:themeColor="background1" w:themeShade="80"/>
                <w:kern w:val="0"/>
                <w:sz w:val="20"/>
                <w:szCs w:val="20"/>
                <w:lang w:val="pt-BR" w:eastAsia="en-US" w:bidi="ar-SA"/>
              </w:rPr>
            </w:r>
          </w:p>
          <w:p>
            <w:pPr>
              <w:pStyle w:val="Paragraph"/>
              <w:widowControl w:val="false"/>
              <w:numPr>
                <w:ilvl w:val="1"/>
                <w:numId w:val="3"/>
              </w:numPr>
              <w:spacing w:beforeAutospacing="0" w:before="0" w:afterAutospacing="0" w:after="0"/>
              <w:jc w:val="both"/>
              <w:textAlignment w:val="baseline"/>
              <w:rPr/>
            </w:pPr>
            <w:r>
              <w:rPr>
                <w:rStyle w:val="Normaltextrun"/>
                <w:rFonts w:eastAsia="Calibri" w:ascii="Cambria" w:hAnsi="Cambria" w:asciiTheme="majorHAnsi" w:hAnsiTheme="majorHAnsi"/>
                <w:b/>
                <w:color w:val="000000" w:themeColor="text1"/>
                <w:kern w:val="0"/>
                <w:sz w:val="20"/>
                <w:szCs w:val="20"/>
                <w:lang w:val="pt-BR" w:bidi="ar-SA"/>
              </w:rPr>
              <w:t>Premiação de Boas Práticas Urbanas;</w:t>
            </w:r>
            <w:r>
              <w:rPr>
                <w:rStyle w:val="Eop"/>
                <w:rFonts w:eastAsia="Calibri" w:ascii="Cambria" w:hAnsi="Cambria" w:asciiTheme="majorHAnsi" w:hAnsiTheme="majorHAnsi"/>
                <w:b/>
                <w:color w:val="000000" w:themeColor="text1"/>
                <w:kern w:val="0"/>
                <w:sz w:val="20"/>
                <w:szCs w:val="20"/>
                <w:lang w:val="pt-BR" w:bidi="ar-SA"/>
              </w:rPr>
              <w:t> </w:t>
            </w:r>
          </w:p>
          <w:p>
            <w:pPr>
              <w:pStyle w:val="Paragraph"/>
              <w:widowControl w:val="false"/>
              <w:spacing w:beforeAutospacing="0" w:before="0" w:afterAutospacing="0" w:after="0"/>
              <w:jc w:val="both"/>
              <w:textAlignment w:val="baseline"/>
              <w:rPr>
                <w:rFonts w:ascii="Cambria" w:hAnsi="Cambria" w:eastAsia="Calibri" w:asciiTheme="majorHAnsi" w:hAnsiTheme="majorHAnsi"/>
                <w:color w:val="808080" w:themeColor="background1" w:themeShade="80"/>
                <w:sz w:val="20"/>
                <w:szCs w:val="20"/>
                <w:lang w:val="pt-BR"/>
              </w:rPr>
            </w:pPr>
            <w:r>
              <w:rPr>
                <w:rFonts w:eastAsia="Calibri" w:ascii="Cambria" w:hAnsi="Cambria"/>
                <w:color w:val="808080" w:themeColor="background1" w:themeShade="80"/>
                <w:sz w:val="20"/>
                <w:szCs w:val="20"/>
                <w:lang w:val="pt-BR"/>
              </w:rPr>
            </w:r>
          </w:p>
          <w:p>
            <w:pPr>
              <w:pStyle w:val="Normal"/>
              <w:widowControl w:val="false"/>
              <w:shd w:val="clear" w:color="auto" w:fill="FFFFFF"/>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O Assessor Diogo relatou que a </w:t>
            </w:r>
            <w:r>
              <w:rPr>
                <w:rFonts w:eastAsia="Times New Roman" w:cs="Times New Roman" w:ascii="Cambria" w:hAnsi="Cambria" w:asciiTheme="majorHAnsi" w:hAnsiTheme="majorHAnsi"/>
                <w:color w:val="000000"/>
                <w:kern w:val="0"/>
                <w:sz w:val="20"/>
                <w:szCs w:val="20"/>
                <w:lang w:val="pt-BR" w:eastAsia="pt-BR" w:bidi="ar-SA"/>
              </w:rPr>
              <w:t xml:space="preserve">redação final do edital para segunda edição do PRÊMIO DE BOAS PRÁTICAS URBANAS foi encaminhada para a Presidência no dia 12/04/2023 pelo protocolo n° 1640111/2022. Disse que, após isto, a Presidência encaminhou novamente o Edital para a Gerência Jurídica no dia 25/04/2023, onde se encontra até o momento. </w:t>
            </w:r>
          </w:p>
          <w:p>
            <w:pPr>
              <w:pStyle w:val="Normal"/>
              <w:widowControl w:val="false"/>
              <w:shd w:val="clear" w:color="auto" w:fill="FFFFFF"/>
              <w:suppressAutoHyphens w:val="false"/>
              <w:spacing w:before="0" w:after="0"/>
              <w:jc w:val="left"/>
              <w:rPr>
                <w:lang w:val="pt-BR"/>
              </w:rPr>
            </w:pPr>
            <w:r>
              <w:rPr>
                <w:rFonts w:eastAsia="Times New Roman" w:cs="Times New Roman" w:ascii="Cambria" w:hAnsi="Cambria" w:asciiTheme="majorHAnsi" w:hAnsiTheme="majorHAnsi"/>
                <w:color w:val="000000"/>
                <w:kern w:val="0"/>
                <w:sz w:val="20"/>
                <w:szCs w:val="20"/>
                <w:lang w:val="pt-BR" w:eastAsia="pt-BR" w:bidi="ar-SA"/>
              </w:rPr>
              <w:t xml:space="preserve"> </w:t>
            </w:r>
          </w:p>
          <w:p>
            <w:pPr>
              <w:pStyle w:val="ListParagraph"/>
              <w:widowControl w:val="false"/>
              <w:numPr>
                <w:ilvl w:val="1"/>
                <w:numId w:val="3"/>
              </w:numPr>
              <w:suppressLineNumbers/>
              <w:suppressAutoHyphens w:val="false"/>
              <w:spacing w:before="0" w:after="0"/>
              <w:rPr/>
            </w:pPr>
            <w:r>
              <w:rPr>
                <w:rStyle w:val="Normaltextrun"/>
                <w:rFonts w:eastAsia="Calibri" w:ascii="Cambria" w:hAnsi="Cambria" w:asciiTheme="majorHAnsi" w:hAnsiTheme="majorHAnsi"/>
                <w:b/>
                <w:color w:val="000000" w:themeColor="text1"/>
                <w:kern w:val="0"/>
                <w:sz w:val="20"/>
                <w:szCs w:val="20"/>
                <w:lang w:val="pt-BR" w:eastAsia="en-US" w:bidi="ar-SA"/>
              </w:rPr>
              <w:t>Curso de capacitação em Regularização Fundiária.</w:t>
            </w:r>
            <w:r>
              <w:rPr>
                <w:rStyle w:val="Eop"/>
                <w:rFonts w:eastAsia="Calibri" w:ascii="Cambria" w:hAnsi="Cambria" w:asciiTheme="majorHAnsi" w:hAnsiTheme="majorHAnsi"/>
                <w:b/>
                <w:color w:val="000000" w:themeColor="text1"/>
                <w:kern w:val="0"/>
                <w:sz w:val="20"/>
                <w:szCs w:val="20"/>
                <w:lang w:val="pt-BR" w:eastAsia="en-US" w:bidi="ar-SA"/>
              </w:rPr>
              <w:t> </w:t>
            </w:r>
          </w:p>
          <w:p>
            <w:pPr>
              <w:pStyle w:val="Normal"/>
              <w:widowControl w:val="false"/>
              <w:suppressLineNumbers/>
              <w:suppressAutoHyphens w:val="false"/>
              <w:spacing w:before="0" w:after="0"/>
              <w:jc w:val="left"/>
              <w:rPr>
                <w:rFonts w:ascii="Cambria" w:hAnsi="Cambria" w:eastAsia="Calibri" w:cs="Times New Roman" w:asciiTheme="majorHAnsi" w:hAnsiTheme="majorHAnsi"/>
                <w:color w:val="808080" w:themeColor="background1" w:themeShade="80"/>
                <w:kern w:val="0"/>
                <w:sz w:val="20"/>
                <w:szCs w:val="20"/>
                <w:highlight w:val="yellow"/>
                <w:lang w:val="pt-BR" w:eastAsia="en-US" w:bidi="ar-SA"/>
              </w:rPr>
            </w:pPr>
            <w:r>
              <w:rPr>
                <w:rFonts w:eastAsia="Calibri" w:cs="Times New Roman" w:ascii="Cambria" w:hAnsi="Cambria"/>
                <w:color w:val="808080" w:themeColor="background1" w:themeShade="80"/>
                <w:kern w:val="0"/>
                <w:sz w:val="20"/>
                <w:szCs w:val="20"/>
                <w:highlight w:val="yellow"/>
                <w:lang w:val="pt-BR" w:eastAsia="en-US" w:bidi="ar-SA"/>
              </w:rPr>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A minuta existente foi analisada e foi verificado que ainda carece de trabalho e definições para sua efetiva finalização. Foram pesquisadas demais experiências de editais e cursos em outros CAU-UFs, como CAU/ES, CAU/SP e CAU/SE.</w:t>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Ficou decidido que o Assessor Diogo trabalhará em pesquisas de demais Editais de contratação de cursos e na proposição de um Conteúdo Programático mínimo para o mesmo. </w:t>
            </w:r>
          </w:p>
          <w:p>
            <w:pPr>
              <w:pStyle w:val="Normal"/>
              <w:widowControl w:val="false"/>
              <w:suppressLineNumbers/>
              <w:suppressAutoHyphens w:val="false"/>
              <w:spacing w:before="0" w:after="0"/>
              <w:jc w:val="left"/>
              <w:rPr>
                <w:rFonts w:ascii="Cambria" w:hAnsi="Cambria" w:eastAsia="Calibri" w:asciiTheme="majorHAnsi" w:hAnsiTheme="majorHAnsi"/>
                <w:color w:val="808080" w:themeColor="background1" w:themeShade="80"/>
                <w:kern w:val="0"/>
                <w:sz w:val="20"/>
                <w:szCs w:val="20"/>
                <w:lang w:val="pt-BR" w:eastAsia="en-US" w:bidi="ar-SA"/>
              </w:rPr>
            </w:pPr>
            <w:r>
              <w:rPr>
                <w:rFonts w:eastAsia="Calibri" w:ascii="Cambria" w:hAnsi="Cambria"/>
                <w:color w:val="808080" w:themeColor="background1" w:themeShade="80"/>
                <w:kern w:val="0"/>
                <w:sz w:val="20"/>
                <w:szCs w:val="20"/>
                <w:lang w:val="pt-BR" w:eastAsia="en-US" w:bidi="ar-SA"/>
              </w:rPr>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808080" w:themeColor="background1" w:themeShade="80"/>
                <w:kern w:val="0"/>
                <w:sz w:val="20"/>
                <w:szCs w:val="20"/>
                <w:highlight w:val="yellow"/>
                <w:lang w:val="pt-BR" w:eastAsia="en-US" w:bidi="ar-SA"/>
              </w:rPr>
            </w:pPr>
            <w:r>
              <w:rPr>
                <w:rFonts w:eastAsia="Calibri" w:ascii="Cambria" w:hAnsi="Cambria"/>
                <w:color w:val="808080" w:themeColor="background1" w:themeShade="80"/>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ListParagraph"/>
              <w:widowControl w:val="false"/>
              <w:numPr>
                <w:ilvl w:val="0"/>
                <w:numId w:val="1"/>
              </w:numPr>
              <w:suppressLineNumbers/>
              <w:suppressAutoHyphens w:val="false"/>
              <w:spacing w:before="0" w:after="0"/>
              <w:ind w:left="454" w:hanging="425"/>
              <w:rPr>
                <w:lang w:val="pt-BR"/>
              </w:rPr>
            </w:pPr>
            <w:r>
              <w:rPr>
                <w:rFonts w:eastAsia="Calibri" w:ascii="Cambria" w:hAnsi="Cambria" w:asciiTheme="majorHAnsi" w:hAnsiTheme="majorHAnsi"/>
                <w:color w:val="000000" w:themeColor="text1"/>
                <w:kern w:val="0"/>
                <w:sz w:val="20"/>
                <w:szCs w:val="20"/>
                <w:lang w:val="pt-BR" w:eastAsia="en-US" w:bidi="ar-SA"/>
              </w:rPr>
              <w:t>Acompanhamento das ações previstas no Plano de Ação da CPUA-CAU/MG.</w:t>
            </w:r>
          </w:p>
        </w:tc>
      </w:tr>
      <w:tr>
        <w:trPr>
          <w:trHeight w:val="550" w:hRule="atLeast"/>
        </w:trPr>
        <w:tc>
          <w:tcPr>
            <w:tcW w:w="10203" w:type="dxa"/>
            <w:tcBorders/>
            <w:shd w:color="auto" w:fill="auto" w:val="clear"/>
            <w:vAlign w:val="center"/>
          </w:tcPr>
          <w:p>
            <w:pPr>
              <w:pStyle w:val="Normal"/>
              <w:widowControl w:val="false"/>
              <w:suppressAutoHyphens w:val="false"/>
              <w:spacing w:before="0" w:after="0"/>
              <w:jc w:val="both"/>
              <w:rPr>
                <w:lang w:val="pt-BR"/>
              </w:rPr>
            </w:pPr>
            <w:r>
              <w:rPr>
                <w:rFonts w:eastAsia="Calibri" w:ascii="Cambria" w:hAnsi="Cambria" w:asciiTheme="majorHAnsi" w:hAnsiTheme="majorHAnsi"/>
                <w:color w:val="000000" w:themeColor="text1"/>
                <w:kern w:val="0"/>
                <w:sz w:val="20"/>
                <w:szCs w:val="20"/>
                <w:lang w:val="pt-BR" w:eastAsia="en-US" w:bidi="ar-SA"/>
              </w:rPr>
              <w:t xml:space="preserve">O Assessor Diogo apresentou, conforme debates da reunião anterior, proposta para reformulação do Plano de Ação da CPUA-CAU/MG com objetivo de deixá-lo mais legível de forma a possibilitar um melhor acompanhamento, mensalmente, durante as reuniões ordinárias. Os conselheiros da CPUA-CAU/MG analisaram a proposta. </w:t>
            </w:r>
          </w:p>
          <w:p>
            <w:pPr>
              <w:pStyle w:val="Normal"/>
              <w:widowControl w:val="false"/>
              <w:suppressAutoHyphens w:val="false"/>
              <w:spacing w:before="0" w:after="0"/>
              <w:jc w:val="left"/>
              <w:rPr>
                <w:rFonts w:ascii="Cambria" w:hAnsi="Cambria" w:eastAsia="Calibri" w:asciiTheme="majorHAnsi" w:hAnsiTheme="majorHAnsi"/>
                <w:color w:val="808080" w:themeColor="background1" w:themeShade="80"/>
                <w:kern w:val="0"/>
                <w:sz w:val="20"/>
                <w:szCs w:val="20"/>
                <w:lang w:val="pt-BR" w:eastAsia="en-US" w:bidi="ar-SA"/>
              </w:rPr>
            </w:pPr>
            <w:r>
              <w:rPr>
                <w:rFonts w:eastAsia="Calibri" w:ascii="Cambria" w:hAnsi="Cambria"/>
                <w:color w:val="808080" w:themeColor="background1" w:themeShade="80"/>
                <w:kern w:val="0"/>
                <w:sz w:val="20"/>
                <w:szCs w:val="20"/>
                <w:lang w:val="pt-BR" w:eastAsia="en-US" w:bidi="ar-SA"/>
              </w:rPr>
            </w:r>
          </w:p>
          <w:p>
            <w:pPr>
              <w:pStyle w:val="Normal"/>
              <w:widowControl w:val="false"/>
              <w:suppressAutoHyphens w:val="false"/>
              <w:spacing w:before="0" w:after="0"/>
              <w:jc w:val="both"/>
              <w:rPr>
                <w:lang w:val="pt-BR"/>
              </w:rPr>
            </w:pPr>
            <w:r>
              <w:rPr>
                <w:rFonts w:eastAsia="Calibri" w:ascii="Cambria" w:hAnsi="Cambria" w:asciiTheme="majorHAnsi" w:hAnsiTheme="majorHAnsi"/>
                <w:b/>
                <w:color w:val="000000" w:themeColor="text1"/>
                <w:kern w:val="0"/>
                <w:sz w:val="20"/>
                <w:szCs w:val="20"/>
                <w:lang w:val="pt-BR" w:eastAsia="en-US" w:bidi="ar-SA"/>
              </w:rPr>
              <w:t>2.1 –</w:t>
            </w:r>
          </w:p>
          <w:p>
            <w:pPr>
              <w:pStyle w:val="Normal"/>
              <w:widowControl w:val="false"/>
              <w:suppressAutoHyphens w:val="false"/>
              <w:spacing w:before="0" w:after="0"/>
              <w:jc w:val="both"/>
              <w:rPr>
                <w:lang w:val="pt-BR"/>
              </w:rPr>
            </w:pPr>
            <w:r>
              <w:rPr>
                <w:rFonts w:eastAsia="Calibri" w:ascii="Cambria" w:hAnsi="Cambria" w:asciiTheme="majorHAnsi" w:hAnsiTheme="majorHAnsi"/>
                <w:color w:val="000000" w:themeColor="text1"/>
                <w:kern w:val="0"/>
                <w:sz w:val="20"/>
                <w:szCs w:val="20"/>
                <w:lang w:val="pt-BR" w:eastAsia="en-US" w:bidi="ar-SA"/>
              </w:rPr>
              <w:t xml:space="preserve">No ato de reformulação do Plano de Ação, foi destacada a necessidade de acompanhamento na indicação de profissionais arquitetos e urbanistas para compor conselhos municipais, tendo em vista que é de desconhecimento da CPUA-CAU/MG este controle. </w:t>
            </w:r>
          </w:p>
          <w:p>
            <w:pPr>
              <w:pStyle w:val="Normal"/>
              <w:widowControl w:val="false"/>
              <w:suppressAutoHyphens w:val="false"/>
              <w:spacing w:before="0" w:after="0"/>
              <w:jc w:val="both"/>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p>
            <w:pPr>
              <w:pStyle w:val="Normal"/>
              <w:widowControl w:val="false"/>
              <w:suppressAutoHyphens w:val="false"/>
              <w:spacing w:before="0" w:after="0"/>
              <w:jc w:val="left"/>
              <w:rPr>
                <w:lang w:val="pt-BR"/>
              </w:rPr>
            </w:pPr>
            <w:r>
              <w:rPr>
                <w:rFonts w:eastAsia="Calibri" w:ascii="Cambria" w:hAnsi="Cambria" w:asciiTheme="majorHAnsi" w:hAnsiTheme="majorHAnsi"/>
                <w:color w:val="000000" w:themeColor="text1"/>
                <w:kern w:val="0"/>
                <w:sz w:val="20"/>
                <w:szCs w:val="20"/>
                <w:lang w:val="pt-BR" w:eastAsia="en-US" w:bidi="ar-SA"/>
              </w:rPr>
              <w:t>Desta forma, foi emitida a DELIBERAÇÃO Nº 79.2.1/2023 solicitand</w:t>
            </w:r>
            <w:bookmarkStart w:id="0" w:name="_GoBack"/>
            <w:bookmarkEnd w:id="0"/>
            <w:r>
              <w:rPr>
                <w:rFonts w:eastAsia="Calibri" w:ascii="Cambria" w:hAnsi="Cambria" w:asciiTheme="majorHAnsi" w:hAnsiTheme="majorHAnsi"/>
                <w:color w:val="000000" w:themeColor="text1"/>
                <w:kern w:val="0"/>
                <w:sz w:val="20"/>
                <w:szCs w:val="20"/>
                <w:lang w:val="pt-BR" w:eastAsia="en-US" w:bidi="ar-SA"/>
              </w:rPr>
              <w:t>o informações sobre representações institucionais do CAU/MG em Conselhos Municipais e/ou Estaduais e Comissões Temática e Gupos de Trabalhos.</w:t>
            </w:r>
          </w:p>
          <w:p>
            <w:pPr>
              <w:pStyle w:val="Normal"/>
              <w:widowControl w:val="false"/>
              <w:suppressAutoHyphens w:val="false"/>
              <w:spacing w:before="0" w:after="0"/>
              <w:jc w:val="left"/>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p>
            <w:pPr>
              <w:pStyle w:val="Normal"/>
              <w:widowControl w:val="false"/>
              <w:suppressAutoHyphens w:val="false"/>
              <w:spacing w:before="0" w:after="0"/>
              <w:jc w:val="both"/>
              <w:rPr>
                <w:lang w:val="pt-BR"/>
              </w:rPr>
            </w:pPr>
            <w:r>
              <w:rPr>
                <w:rFonts w:eastAsia="Calibri" w:ascii="Cambria" w:hAnsi="Cambria" w:asciiTheme="majorHAnsi" w:hAnsiTheme="majorHAnsi"/>
                <w:b/>
                <w:color w:val="000000" w:themeColor="text1"/>
                <w:kern w:val="0"/>
                <w:sz w:val="20"/>
                <w:szCs w:val="20"/>
                <w:lang w:val="pt-BR" w:eastAsia="en-US" w:bidi="ar-SA"/>
              </w:rPr>
              <w:t>2.2 –</w:t>
            </w:r>
          </w:p>
          <w:p>
            <w:pPr>
              <w:pStyle w:val="Normal"/>
              <w:widowControl w:val="false"/>
              <w:suppressAutoHyphens w:val="false"/>
              <w:spacing w:before="0" w:after="0"/>
              <w:jc w:val="both"/>
              <w:rPr>
                <w:lang w:val="pt-BR"/>
              </w:rPr>
            </w:pPr>
            <w:r>
              <w:rPr>
                <w:rFonts w:eastAsia="Calibri" w:ascii="Cambria" w:hAnsi="Cambria" w:asciiTheme="majorHAnsi" w:hAnsiTheme="majorHAnsi"/>
                <w:color w:val="000000" w:themeColor="text1"/>
                <w:kern w:val="0"/>
                <w:sz w:val="20"/>
                <w:szCs w:val="20"/>
                <w:lang w:val="pt-BR" w:eastAsia="en-US" w:bidi="ar-SA"/>
              </w:rPr>
              <w:t xml:space="preserve">Após debate, foi decidido reformular o Plano de Ação da CPUA nas seguintes ações: </w:t>
            </w:r>
          </w:p>
          <w:p>
            <w:pPr>
              <w:pStyle w:val="Normal"/>
              <w:widowControl w:val="false"/>
              <w:suppressAutoHyphens w:val="false"/>
              <w:spacing w:before="0" w:after="0"/>
              <w:jc w:val="left"/>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p>
            <w:pPr>
              <w:pStyle w:val="Normal"/>
              <w:widowControl w:val="false"/>
              <w:suppressAutoHyphens w:val="false"/>
              <w:spacing w:lineRule="auto" w:line="360" w:before="0" w:after="0"/>
              <w:ind w:left="1440" w:hanging="0"/>
              <w:jc w:val="left"/>
              <w:rPr>
                <w:lang w:val="pt-BR"/>
              </w:rPr>
            </w:pPr>
            <w:r>
              <w:rPr>
                <w:rFonts w:eastAsia="Calibri" w:cs="Times New Roman" w:ascii="Cambria" w:hAnsi="Cambria" w:asciiTheme="majorHAnsi" w:hAnsiTheme="majorHAnsi"/>
                <w:b/>
                <w:bCs/>
                <w:color w:val="000000" w:themeColor="text1"/>
                <w:kern w:val="0"/>
                <w:sz w:val="20"/>
                <w:szCs w:val="20"/>
                <w:lang w:val="pt-BR" w:eastAsia="en-US" w:bidi="ar-SA"/>
              </w:rPr>
              <w:t>AÇÃO: X.X.X</w:t>
            </w:r>
            <w:r>
              <w:rPr>
                <w:rFonts w:eastAsia="Calibri" w:cs="Times New Roman" w:ascii="Cambria" w:hAnsi="Cambria" w:asciiTheme="majorHAnsi" w:hAnsiTheme="majorHAnsi"/>
                <w:color w:val="000000" w:themeColor="text1"/>
                <w:kern w:val="0"/>
                <w:sz w:val="20"/>
                <w:szCs w:val="20"/>
                <w:lang w:val="pt-BR" w:eastAsia="en-US" w:bidi="ar-SA"/>
              </w:rPr>
              <w:t xml:space="preserve"> – ARTICULAÇÃO COM A CPUA-CAU/BR E CPUAS DOS OUTROS CAU/UF RELACIONADAS A POLÍTICAS URBANAS.</w:t>
            </w:r>
          </w:p>
          <w:p>
            <w:pPr>
              <w:pStyle w:val="Normal"/>
              <w:widowControl w:val="false"/>
              <w:suppressAutoHyphens w:val="false"/>
              <w:spacing w:lineRule="auto" w:line="360" w:before="0" w:after="0"/>
              <w:ind w:left="720" w:firstLine="72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AÇÃO: 1.2.1.1</w:t>
            </w:r>
            <w:r>
              <w:rPr>
                <w:rFonts w:eastAsia="Calibri" w:cs="Times New Roman" w:ascii="Cambria" w:hAnsi="Cambria" w:asciiTheme="majorHAnsi" w:hAnsiTheme="majorHAnsi"/>
                <w:color w:val="000000" w:themeColor="text1"/>
                <w:kern w:val="0"/>
                <w:sz w:val="20"/>
                <w:szCs w:val="20"/>
                <w:lang w:val="pt-BR" w:eastAsia="en-US" w:bidi="ar-SA"/>
              </w:rPr>
              <w:t xml:space="preserve"> – PROPOR E ACOMPANHAR PARCERIAS COM INSTITUIÇÕES PÚBLICAS E PRIVADAS</w:t>
            </w:r>
          </w:p>
          <w:p>
            <w:pPr>
              <w:pStyle w:val="Normal"/>
              <w:widowControl w:val="false"/>
              <w:suppressAutoHyphens w:val="false"/>
              <w:spacing w:lineRule="auto" w:line="360" w:before="0" w:after="0"/>
              <w:ind w:left="1440" w:hanging="0"/>
              <w:jc w:val="both"/>
              <w:rPr>
                <w:lang w:val="pt-BR"/>
              </w:rPr>
            </w:pPr>
            <w:bookmarkStart w:id="1" w:name="_Hlk134009294"/>
            <w:bookmarkEnd w:id="1"/>
            <w:r>
              <w:rPr>
                <w:rFonts w:eastAsia="Calibri" w:cs="Times New Roman" w:ascii="Cambria" w:hAnsi="Cambria" w:asciiTheme="majorHAnsi" w:hAnsiTheme="majorHAnsi"/>
                <w:b/>
                <w:color w:val="000000" w:themeColor="text1"/>
                <w:kern w:val="0"/>
                <w:sz w:val="20"/>
                <w:szCs w:val="20"/>
                <w:lang w:val="pt-BR" w:eastAsia="en-US" w:bidi="ar-SA"/>
              </w:rPr>
              <w:t>AÇÃO: 1.3.3</w:t>
            </w:r>
            <w:r>
              <w:rPr>
                <w:rFonts w:eastAsia="Calibri" w:cs="Times New Roman" w:ascii="Cambria" w:hAnsi="Cambria" w:asciiTheme="majorHAnsi" w:hAnsiTheme="majorHAnsi"/>
                <w:color w:val="000000" w:themeColor="text1"/>
                <w:kern w:val="0"/>
                <w:sz w:val="20"/>
                <w:szCs w:val="20"/>
                <w:lang w:val="pt-BR" w:eastAsia="en-US" w:bidi="ar-SA"/>
              </w:rPr>
              <w:t xml:space="preserve"> – ACOMPANHAE E PROPOR INDICAÇÃO DE PROFISSIONAIS ARQUITETOS E URBANISTAS PARA COMPOR CONSELHOS MUNICIPAIS</w:t>
            </w:r>
          </w:p>
          <w:p>
            <w:pPr>
              <w:pStyle w:val="Normal"/>
              <w:widowControl w:val="false"/>
              <w:suppressAutoHyphens w:val="false"/>
              <w:spacing w:lineRule="auto" w:line="360" w:before="0" w:after="0"/>
              <w:ind w:left="1440" w:hanging="0"/>
              <w:jc w:val="both"/>
              <w:rPr>
                <w:lang w:val="pt-BR"/>
              </w:rPr>
            </w:pPr>
            <w:bookmarkStart w:id="2" w:name="_Hlk134009366"/>
            <w:bookmarkStart w:id="3" w:name="_Hlk134009294_Copia_1"/>
            <w:bookmarkEnd w:id="2"/>
            <w:bookmarkEnd w:id="3"/>
            <w:r>
              <w:rPr>
                <w:rFonts w:eastAsia="Calibri" w:cs="Times New Roman" w:ascii="Cambria" w:hAnsi="Cambria" w:asciiTheme="majorHAnsi" w:hAnsiTheme="majorHAnsi"/>
                <w:b/>
                <w:color w:val="000000" w:themeColor="text1"/>
                <w:kern w:val="0"/>
                <w:sz w:val="20"/>
                <w:szCs w:val="20"/>
                <w:lang w:val="pt-BR" w:eastAsia="en-US" w:bidi="ar-SA"/>
              </w:rPr>
              <w:t>AÇÃO: 1.4.5</w:t>
            </w:r>
            <w:r>
              <w:rPr>
                <w:rFonts w:eastAsia="Calibri" w:cs="Times New Roman" w:ascii="Cambria" w:hAnsi="Cambria" w:asciiTheme="majorHAnsi" w:hAnsiTheme="majorHAnsi"/>
                <w:color w:val="000000" w:themeColor="text1"/>
                <w:kern w:val="0"/>
                <w:sz w:val="20"/>
                <w:szCs w:val="20"/>
                <w:lang w:val="pt-BR" w:eastAsia="en-US" w:bidi="ar-SA"/>
              </w:rPr>
              <w:t xml:space="preserve"> – PROPOR EDITAIS OU CONVÊNIOS PARA QUALIFICAR E CAPACITAR PROFISSIONAIS ARQUITETOS(AS) E URBANISTAS PARA ATUAR EM REGULARIZAÇÃO FUNDIÁRIA</w:t>
            </w:r>
          </w:p>
          <w:p>
            <w:pPr>
              <w:pStyle w:val="Normal"/>
              <w:widowControl w:val="false"/>
              <w:suppressAutoHyphens w:val="false"/>
              <w:spacing w:lineRule="auto" w:line="360" w:before="0" w:after="0"/>
              <w:ind w:left="1440" w:hanging="0"/>
              <w:jc w:val="both"/>
              <w:rPr>
                <w:lang w:val="pt-BR"/>
              </w:rPr>
            </w:pPr>
            <w:bookmarkStart w:id="4" w:name="_Hlk134009396"/>
            <w:bookmarkStart w:id="5" w:name="_Hlk134009366_Copia_1"/>
            <w:bookmarkEnd w:id="5"/>
            <w:r>
              <w:rPr>
                <w:rFonts w:eastAsia="Calibri" w:cs="Times New Roman" w:ascii="Cambria" w:hAnsi="Cambria" w:asciiTheme="majorHAnsi" w:hAnsiTheme="majorHAnsi"/>
                <w:b/>
                <w:color w:val="000000" w:themeColor="text1"/>
                <w:kern w:val="0"/>
                <w:sz w:val="20"/>
                <w:szCs w:val="20"/>
                <w:lang w:val="pt-BR" w:eastAsia="en-US" w:bidi="ar-SA"/>
              </w:rPr>
              <w:t>AÇÃO: 2.1.12.1</w:t>
            </w:r>
            <w:r>
              <w:rPr>
                <w:rFonts w:eastAsia="Calibri" w:cs="Times New Roman" w:ascii="Cambria" w:hAnsi="Cambria" w:asciiTheme="majorHAnsi" w:hAnsiTheme="majorHAnsi"/>
                <w:color w:val="000000" w:themeColor="text1"/>
                <w:kern w:val="0"/>
                <w:sz w:val="20"/>
                <w:szCs w:val="20"/>
                <w:lang w:val="pt-BR" w:eastAsia="en-US" w:bidi="ar-SA"/>
              </w:rPr>
              <w:t xml:space="preserve"> – PROPOR CONTEÚDO DE DIVULGAÇÃO RELATIVA A TEMÁTICAS DE COMPETÊNCIA DA CPUA</w:t>
            </w:r>
            <w:bookmarkEnd w:id="4"/>
          </w:p>
          <w:p>
            <w:pPr>
              <w:pStyle w:val="Normal"/>
              <w:widowControl w:val="false"/>
              <w:suppressAutoHyphens w:val="false"/>
              <w:spacing w:lineRule="auto" w:line="360" w:before="0" w:after="0"/>
              <w:ind w:left="1440" w:hanging="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AÇÃO: 3.1.10</w:t>
            </w:r>
            <w:r>
              <w:rPr>
                <w:rFonts w:eastAsia="Calibri" w:cs="Times New Roman" w:ascii="Cambria" w:hAnsi="Cambria" w:asciiTheme="majorHAnsi" w:hAnsiTheme="majorHAnsi"/>
                <w:color w:val="000000" w:themeColor="text1"/>
                <w:kern w:val="0"/>
                <w:sz w:val="20"/>
                <w:szCs w:val="20"/>
                <w:lang w:val="pt-BR" w:eastAsia="en-US" w:bidi="ar-SA"/>
              </w:rPr>
              <w:t xml:space="preserve"> – INSCRIÇÃO DO CAU/MG NO 6° CIRCUITO URBANO DO PROGRAMA DAS NAÇÕES UNIDAS PARA OS ASSENTAMENTOS HUMANOS (ONU-HABITAT) – 2023</w:t>
            </w:r>
          </w:p>
          <w:p>
            <w:pPr>
              <w:pStyle w:val="Normal"/>
              <w:widowControl w:val="false"/>
              <w:suppressAutoHyphens w:val="false"/>
              <w:spacing w:lineRule="auto" w:line="360" w:before="0" w:after="0"/>
              <w:ind w:left="1440" w:hanging="0"/>
              <w:jc w:val="both"/>
              <w:rPr>
                <w:lang w:val="pt-BR"/>
              </w:rPr>
            </w:pPr>
            <w:bookmarkStart w:id="6" w:name="_Hlk134009411"/>
            <w:r>
              <w:rPr>
                <w:rFonts w:eastAsia="Calibri" w:cs="Times New Roman" w:ascii="Cambria" w:hAnsi="Cambria" w:asciiTheme="majorHAnsi" w:hAnsiTheme="majorHAnsi"/>
                <w:b/>
                <w:color w:val="000000" w:themeColor="text1"/>
                <w:kern w:val="0"/>
                <w:sz w:val="20"/>
                <w:szCs w:val="20"/>
                <w:lang w:val="pt-BR" w:eastAsia="en-US" w:bidi="ar-SA"/>
              </w:rPr>
              <w:t>AÇÃO: 3.1.13.1</w:t>
            </w:r>
            <w:r>
              <w:rPr>
                <w:rFonts w:eastAsia="Calibri" w:cs="Times New Roman" w:ascii="Cambria" w:hAnsi="Cambria" w:asciiTheme="majorHAnsi" w:hAnsiTheme="majorHAnsi"/>
                <w:color w:val="000000" w:themeColor="text1"/>
                <w:kern w:val="0"/>
                <w:sz w:val="20"/>
                <w:szCs w:val="20"/>
                <w:lang w:val="pt-BR" w:eastAsia="en-US" w:bidi="ar-SA"/>
              </w:rPr>
              <w:t xml:space="preserve"> – 4° SEMINÁRIO CONJUNTO DAS COMISSÕES ESPECIAIS (2023)</w:t>
            </w:r>
            <w:bookmarkEnd w:id="6"/>
          </w:p>
          <w:p>
            <w:pPr>
              <w:pStyle w:val="Normal"/>
              <w:widowControl w:val="false"/>
              <w:suppressAutoHyphens w:val="false"/>
              <w:spacing w:lineRule="auto" w:line="360" w:before="0" w:after="0"/>
              <w:ind w:left="1440" w:hanging="0"/>
              <w:jc w:val="both"/>
              <w:rPr>
                <w:lang w:val="pt-BR"/>
              </w:rPr>
            </w:pPr>
            <w:r>
              <w:rPr>
                <w:rFonts w:eastAsia="Calibri" w:cs="Times New Roman" w:ascii="Cambria" w:hAnsi="Cambria" w:asciiTheme="majorHAnsi" w:hAnsiTheme="majorHAnsi"/>
                <w:b/>
                <w:color w:val="000000" w:themeColor="text1"/>
                <w:kern w:val="0"/>
                <w:sz w:val="20"/>
                <w:szCs w:val="20"/>
                <w:lang w:val="pt-BR" w:eastAsia="en-US" w:bidi="ar-SA"/>
              </w:rPr>
              <w:t>AÇÃO: 1.5.2.1</w:t>
            </w:r>
            <w:r>
              <w:rPr>
                <w:rFonts w:eastAsia="Calibri" w:cs="Times New Roman" w:ascii="Cambria" w:hAnsi="Cambria" w:asciiTheme="majorHAnsi" w:hAnsiTheme="majorHAnsi"/>
                <w:color w:val="000000" w:themeColor="text1"/>
                <w:kern w:val="0"/>
                <w:sz w:val="20"/>
                <w:szCs w:val="20"/>
                <w:lang w:val="pt-BR" w:eastAsia="en-US" w:bidi="ar-SA"/>
              </w:rPr>
              <w:t xml:space="preserve"> – EDITAL DE BOAS PRÁTICAS NA ARQUITETURA E URBANISMO NO CAMPO DA POLÍTICA URBANA E AMBIENTAL – 2023</w:t>
            </w:r>
          </w:p>
          <w:p>
            <w:pPr>
              <w:pStyle w:val="Normal"/>
              <w:widowControl w:val="false"/>
              <w:suppressAutoHyphens w:val="false"/>
              <w:spacing w:before="0" w:after="0"/>
              <w:jc w:val="left"/>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p>
            <w:pPr>
              <w:pStyle w:val="Normal"/>
              <w:widowControl w:val="false"/>
              <w:suppressAutoHyphens w:val="false"/>
              <w:spacing w:before="0" w:after="0"/>
              <w:jc w:val="left"/>
              <w:rPr>
                <w:lang w:val="pt-BR"/>
              </w:rPr>
            </w:pPr>
            <w:r>
              <w:rPr>
                <w:rFonts w:eastAsia="Calibri" w:ascii="Cambria" w:hAnsi="Cambria" w:asciiTheme="majorHAnsi" w:hAnsiTheme="majorHAnsi"/>
                <w:color w:val="000000" w:themeColor="text1"/>
                <w:kern w:val="0"/>
                <w:sz w:val="20"/>
                <w:szCs w:val="20"/>
                <w:lang w:val="pt-BR" w:eastAsia="en-US" w:bidi="ar-SA"/>
              </w:rPr>
              <w:t>Foi emitida Deliberação, DCPUA-CAU/MG n° 79.2.2, com a configuração do novo Plano de Ação da CPUA-CAU/MG revisado, para ciência da Presidência e GEPLAN-CAU/MG.</w:t>
            </w:r>
          </w:p>
          <w:p>
            <w:pPr>
              <w:pStyle w:val="Normal"/>
              <w:widowControl w:val="false"/>
              <w:suppressAutoHyphens w:val="false"/>
              <w:spacing w:before="0" w:after="0"/>
              <w:jc w:val="left"/>
              <w:rPr>
                <w:rFonts w:ascii="Cambria" w:hAnsi="Cambria" w:eastAsia="Calibri" w:cs="Times New Roman" w:asciiTheme="majorHAnsi" w:hAnsiTheme="majorHAnsi"/>
                <w:color w:val="808080" w:themeColor="background1" w:themeShade="80"/>
                <w:kern w:val="0"/>
                <w:sz w:val="20"/>
                <w:szCs w:val="20"/>
                <w:lang w:val="pt-BR" w:eastAsia="en-US" w:bidi="ar-SA"/>
              </w:rPr>
            </w:pPr>
            <w:r>
              <w:rPr>
                <w:rFonts w:eastAsia="Calibri" w:cs="Times New Roman" w:ascii="Cambria" w:hAnsi="Cambria"/>
                <w:color w:val="808080" w:themeColor="background1" w:themeShade="80"/>
                <w:kern w:val="0"/>
                <w:sz w:val="20"/>
                <w:szCs w:val="20"/>
                <w:lang w:val="pt-BR" w:eastAsia="en-US" w:bidi="ar-SA"/>
              </w:rPr>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808080" w:themeColor="background1" w:themeShade="80"/>
                <w:kern w:val="0"/>
                <w:sz w:val="20"/>
                <w:szCs w:val="20"/>
                <w:highlight w:val="yellow"/>
                <w:lang w:val="pt-BR" w:eastAsia="en-US" w:bidi="ar-SA"/>
              </w:rPr>
            </w:pPr>
            <w:r>
              <w:rPr>
                <w:rFonts w:eastAsia="Calibri" w:ascii="Cambria" w:hAnsi="Cambria"/>
                <w:color w:val="808080" w:themeColor="background1" w:themeShade="80"/>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ListParagraph"/>
              <w:widowControl w:val="false"/>
              <w:numPr>
                <w:ilvl w:val="0"/>
                <w:numId w:val="1"/>
              </w:numPr>
              <w:suppressLineNumbers/>
              <w:suppressAutoHyphens w:val="false"/>
              <w:spacing w:before="0" w:after="0"/>
              <w:ind w:left="454" w:hanging="425"/>
              <w:rPr>
                <w:lang w:val="pt-BR"/>
              </w:rPr>
            </w:pPr>
            <w:r>
              <w:rPr>
                <w:rFonts w:eastAsia="Calibri" w:ascii="Cambria" w:hAnsi="Cambria" w:asciiTheme="majorHAnsi" w:hAnsiTheme="majorHAnsi"/>
                <w:color w:val="000000" w:themeColor="text1"/>
                <w:kern w:val="0"/>
                <w:sz w:val="20"/>
                <w:szCs w:val="20"/>
                <w:lang w:val="pt-BR" w:eastAsia="en-US" w:bidi="ar-SA"/>
              </w:rPr>
              <w:t>Procedimento de Aprovação de Projetos em Conselheiro Lafaiete (Participação do Conselheiro Federal);</w:t>
            </w:r>
          </w:p>
        </w:tc>
      </w:tr>
      <w:tr>
        <w:trPr>
          <w:trHeight w:val="550" w:hRule="atLeast"/>
        </w:trPr>
        <w:tc>
          <w:tcPr>
            <w:tcW w:w="10203" w:type="dxa"/>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808080" w:themeColor="background1" w:themeShade="80"/>
                <w:kern w:val="0"/>
                <w:sz w:val="20"/>
                <w:szCs w:val="20"/>
                <w:lang w:val="pt-BR" w:eastAsia="en-US" w:bidi="ar-SA"/>
              </w:rPr>
            </w:pPr>
            <w:r>
              <w:rPr>
                <w:rFonts w:eastAsia="Calibri" w:ascii="Cambria" w:hAnsi="Cambria"/>
                <w:color w:val="808080" w:themeColor="background1" w:themeShade="80"/>
                <w:kern w:val="0"/>
                <w:sz w:val="20"/>
                <w:szCs w:val="20"/>
                <w:lang w:val="pt-BR" w:eastAsia="en-US" w:bidi="ar-SA"/>
              </w:rPr>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Foi verificado que a CPUA-CAU/BR ainda não publicou o guia para gestores municipais sobre o licenciamento urbanístico integrado e simplificado.</w:t>
            </w:r>
          </w:p>
          <w:p>
            <w:pPr>
              <w:pStyle w:val="Normal"/>
              <w:widowControl w:val="false"/>
              <w:suppressLineNumbers/>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Foi levantada a possibilidade da CPUA-CAU/MG elaborar um texto para uma Carta Pública com o posicionamento contra a autodeclaração na aprovação dos projetos municipais. Do texto desta carta poderia ser elaborado um Ofício para envio ao município de Conselheiro Lafaiete. </w:t>
            </w:r>
          </w:p>
          <w:p>
            <w:pPr>
              <w:pStyle w:val="Normal"/>
              <w:widowControl w:val="false"/>
              <w:suppressLineNumbers/>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O Conselheiro Coordenador Fábio ficou de propor a minuta desta Carta Pública.</w:t>
            </w:r>
          </w:p>
          <w:p>
            <w:pPr>
              <w:pStyle w:val="Normal"/>
              <w:widowControl w:val="false"/>
              <w:suppressLineNumbers/>
              <w:suppressAutoHyphens w:val="false"/>
              <w:spacing w:before="0" w:after="0"/>
              <w:jc w:val="left"/>
              <w:rPr>
                <w:rFonts w:ascii="Cambria" w:hAnsi="Cambria" w:eastAsia="Calibri" w:asciiTheme="majorHAnsi" w:hAnsiTheme="majorHAnsi"/>
                <w:color w:val="808080" w:themeColor="background1" w:themeShade="80"/>
                <w:kern w:val="0"/>
                <w:sz w:val="20"/>
                <w:szCs w:val="20"/>
                <w:lang w:val="pt-BR" w:eastAsia="en-US" w:bidi="ar-SA"/>
              </w:rPr>
            </w:pPr>
            <w:r>
              <w:rPr>
                <w:rFonts w:eastAsia="Calibri" w:ascii="Cambria" w:hAnsi="Cambria"/>
                <w:color w:val="808080" w:themeColor="background1" w:themeShade="80"/>
                <w:kern w:val="0"/>
                <w:sz w:val="20"/>
                <w:szCs w:val="20"/>
                <w:lang w:val="pt-BR" w:eastAsia="en-US" w:bidi="ar-SA"/>
              </w:rPr>
            </w:r>
          </w:p>
        </w:tc>
      </w:tr>
    </w:tbl>
    <w:p>
      <w:pPr>
        <w:pStyle w:val="Normal"/>
        <w:widowControl/>
        <w:rPr>
          <w:rFonts w:ascii="Cambria" w:hAnsi="Cambria" w:asciiTheme="majorHAnsi" w:hAnsiTheme="majorHAnsi"/>
          <w:color w:val="808080" w:themeColor="background1" w:themeShade="80"/>
          <w:sz w:val="20"/>
          <w:szCs w:val="20"/>
          <w:lang w:val="pt-BR"/>
        </w:rPr>
      </w:pPr>
      <w:r>
        <w:rPr>
          <w:rFonts w:asciiTheme="majorHAnsi" w:hAnsiTheme="majorHAnsi" w:ascii="Cambria" w:hAnsi="Cambria"/>
          <w:color w:val="808080" w:themeColor="background1" w:themeShade="80"/>
          <w:sz w:val="20"/>
          <w:szCs w:val="20"/>
          <w:lang w:val="pt-BR"/>
        </w:rPr>
      </w:r>
    </w:p>
    <w:tbl>
      <w:tblPr>
        <w:tblStyle w:val="Tabelacomgrade2"/>
        <w:tblW w:w="1020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03"/>
      </w:tblGrid>
      <w:tr>
        <w:trPr>
          <w:trHeight w:val="330" w:hRule="atLeast"/>
        </w:trPr>
        <w:tc>
          <w:tcPr>
            <w:tcW w:w="10203" w:type="dxa"/>
            <w:tcBorders/>
            <w:shd w:color="auto" w:fill="D9D9D9" w:themeFill="background1" w:themeFillShade="d9" w:val="clear"/>
            <w:vAlign w:val="center"/>
          </w:tcPr>
          <w:p>
            <w:pPr>
              <w:pStyle w:val="ListParagraph"/>
              <w:widowControl w:val="false"/>
              <w:numPr>
                <w:ilvl w:val="0"/>
                <w:numId w:val="1"/>
              </w:numPr>
              <w:suppressLineNumbers/>
              <w:suppressAutoHyphens w:val="false"/>
              <w:spacing w:before="0" w:after="0"/>
              <w:ind w:left="454" w:hanging="425"/>
              <w:rPr>
                <w:lang w:val="pt-BR"/>
              </w:rPr>
            </w:pPr>
            <w:r>
              <w:rPr>
                <w:rFonts w:eastAsia="Calibri" w:ascii="Cambria" w:hAnsi="Cambria" w:asciiTheme="majorHAnsi" w:hAnsiTheme="majorHAnsi"/>
                <w:color w:val="000000" w:themeColor="text1"/>
                <w:kern w:val="0"/>
                <w:sz w:val="20"/>
                <w:szCs w:val="20"/>
                <w:lang w:val="pt-BR" w:eastAsia="en-US" w:bidi="ar-SA"/>
              </w:rPr>
              <w:t>Ação Direta de Inconstitucionalidade no Plano diretor de Belo Horizonte.</w:t>
            </w:r>
          </w:p>
        </w:tc>
      </w:tr>
      <w:tr>
        <w:trPr>
          <w:trHeight w:val="550" w:hRule="atLeast"/>
        </w:trPr>
        <w:tc>
          <w:tcPr>
            <w:tcW w:w="10203" w:type="dxa"/>
            <w:tcBorders/>
            <w:shd w:color="auto" w:fill="auto" w:val="clear"/>
            <w:vAlign w:val="center"/>
          </w:tcPr>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No dia 24/04/2023 foi realizada uma reunião extraordinária para debater exclusivamente sobre o tema deste item de pauta. Foram convidados todos os Conselheiros interessados e os membros do CEAU. O debate foi redigido a termo na Súmula da reunião CPUA-CAU/MG n° 78.</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A Conselheira Mariana Fernandes Teixeira, Coordenadora adjunta da CPUA-CAU/MG, agradeceu as contribuições durante a reunião e solicitou o encaminhamento das proposições redigidas de forma resumida aos manifestantes, Sr. Silvio Motta e Conselheira Fernanda Basques. </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O Sr. Silvio Motta informou que sua manifestação está redigida em Nota emitida na última reunião do CEAU-CAU/MG manifestando-se sobre o item de pauta, portanto, foi solicitado</w:t>
            </w:r>
            <w:r>
              <w:rPr>
                <w:rFonts w:eastAsia="Calibri" w:cs="Times New Roman" w:ascii="Cambria" w:hAnsi="Cambria" w:asciiTheme="majorHAnsi" w:hAnsiTheme="majorHAnsi"/>
                <w:kern w:val="0"/>
                <w:sz w:val="20"/>
                <w:szCs w:val="20"/>
                <w:lang w:val="pt-BR" w:eastAsia="en-US" w:bidi="ar-SA"/>
              </w:rPr>
              <w:t xml:space="preserve"> o encaminhamento para a CPUA-CAU/MG da Nota do CEAU-CAU/MG sobre a Ação Direta de</w:t>
            </w:r>
            <w:r>
              <w:rPr>
                <w:rFonts w:eastAsia="Calibri" w:cs="Times New Roman" w:ascii="Cambria" w:hAnsi="Cambria" w:asciiTheme="majorHAnsi" w:hAnsiTheme="majorHAnsi"/>
                <w:color w:val="000000" w:themeColor="text1"/>
                <w:kern w:val="0"/>
                <w:sz w:val="20"/>
                <w:szCs w:val="20"/>
                <w:lang w:val="pt-BR" w:eastAsia="en-US" w:bidi="ar-SA"/>
              </w:rPr>
              <w:t xml:space="preserve"> </w:t>
            </w:r>
            <w:r>
              <w:rPr>
                <w:rFonts w:eastAsia="Calibri" w:cs="Times New Roman" w:ascii="Cambria" w:hAnsi="Cambria" w:asciiTheme="majorHAnsi" w:hAnsiTheme="majorHAnsi"/>
                <w:kern w:val="0"/>
                <w:sz w:val="20"/>
                <w:szCs w:val="20"/>
                <w:lang w:val="pt-BR" w:eastAsia="en-US" w:bidi="ar-SA"/>
              </w:rPr>
              <w:t>Inconstitucionalidade – Plano Diretor de Belo Horizonte (n° 1.0000.23.010032-3/000).</w:t>
            </w:r>
          </w:p>
          <w:p>
            <w:pPr>
              <w:pStyle w:val="Normal"/>
              <w:widowControl w:val="false"/>
              <w:suppressAutoHyphens w:val="false"/>
              <w:spacing w:before="0" w:after="0"/>
              <w:jc w:val="left"/>
              <w:rPr>
                <w:rFonts w:ascii="Cambria" w:hAnsi="Cambria" w:eastAsia="Calibri" w:cs="Times New Roman" w:asciiTheme="majorHAnsi" w:hAnsiTheme="majorHAnsi"/>
                <w:kern w:val="0"/>
                <w:sz w:val="20"/>
                <w:szCs w:val="20"/>
                <w:lang w:val="pt-BR" w:eastAsia="en-US" w:bidi="ar-SA"/>
              </w:rPr>
            </w:pPr>
            <w:r>
              <w:rPr>
                <w:rFonts w:eastAsia="Calibri" w:cs="Times New Roman" w:ascii="Cambria" w:hAnsi="Cambria"/>
                <w:kern w:val="0"/>
                <w:sz w:val="20"/>
                <w:szCs w:val="20"/>
                <w:lang w:val="pt-BR" w:eastAsia="en-US" w:bidi="ar-SA"/>
              </w:rPr>
            </w:r>
          </w:p>
          <w:p>
            <w:pPr>
              <w:pStyle w:val="Normal"/>
              <w:widowControl w:val="false"/>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Ficou decidido que a CPUA-CAU/MG emitirá sua manifestação sobre o assunto após recebidas as contribuições na data provável de sua próxima reunião ordinária no dia 08/05/2023.</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No dia 04/05/2023 o Gerente Geral do CAU/MG encaminhou e-mail informando que que no dia 03/05/2023 foi deferido o pedido do CAU/MG para ingresso como amicus curiae na Ação Direta de Inconstitucionalidade – Plano Diretor de Belo Horizonte (n° 1.0000.23.010032-3/000). </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Assim, a pedido da Presidente Du Leal, foi solicitado que a CPUA-CAU/MG manifeste-se sobre a matéria até o dia 15/05, uma vez que assunto será apreciado na reunião plenária do dia 23/05. </w:t>
            </w:r>
          </w:p>
          <w:p>
            <w:pPr>
              <w:pStyle w:val="Normal"/>
              <w:widowControl w:val="false"/>
              <w:suppressAutoHyphens w:val="false"/>
              <w:spacing w:before="0" w:after="0"/>
              <w:jc w:val="left"/>
              <w:rPr>
                <w:rFonts w:ascii="Cambria" w:hAnsi="Cambria" w:eastAsia="Times New Roman" w:cs="Arial" w:asciiTheme="majorHAnsi" w:hAnsiTheme="majorHAnsi"/>
                <w:color w:val="000000"/>
                <w:kern w:val="0"/>
                <w:sz w:val="20"/>
                <w:szCs w:val="20"/>
                <w:lang w:val="pt-BR" w:eastAsia="en-US" w:bidi="ar-SA"/>
              </w:rPr>
            </w:pPr>
            <w:r>
              <w:rPr>
                <w:rFonts w:eastAsia="Times New Roman" w:cs="Arial" w:ascii="Cambria" w:hAnsi="Cambria"/>
                <w:color w:val="000000"/>
                <w:kern w:val="0"/>
                <w:sz w:val="20"/>
                <w:szCs w:val="20"/>
                <w:lang w:val="pt-BR" w:eastAsia="en-US" w:bidi="ar-SA"/>
              </w:rPr>
            </w:r>
          </w:p>
          <w:p>
            <w:pPr>
              <w:pStyle w:val="Normal"/>
              <w:widowControl w:val="false"/>
              <w:suppressAutoHyphens w:val="false"/>
              <w:spacing w:before="0" w:after="0"/>
              <w:jc w:val="left"/>
              <w:rPr>
                <w:lang w:val="pt-BR"/>
              </w:rPr>
            </w:pPr>
            <w:r>
              <w:rPr>
                <w:rFonts w:eastAsia="Calibri" w:cs="Times New Roman" w:ascii="Cambria" w:hAnsi="Cambria" w:asciiTheme="majorHAnsi" w:hAnsiTheme="majorHAnsi"/>
                <w:color w:val="FFFF00"/>
                <w:kern w:val="0"/>
                <w:sz w:val="20"/>
                <w:szCs w:val="20"/>
                <w:lang w:val="pt-BR" w:eastAsia="en-US" w:bidi="ar-SA"/>
              </w:rPr>
              <w:t xml:space="preserve"> </w:t>
            </w:r>
            <w:r>
              <w:rPr>
                <w:rFonts w:eastAsia="Calibri" w:cs="Times New Roman" w:ascii="Cambria" w:hAnsi="Cambria" w:asciiTheme="majorHAnsi" w:hAnsiTheme="majorHAnsi"/>
                <w:color w:val="000000" w:themeColor="text1"/>
                <w:kern w:val="0"/>
                <w:sz w:val="20"/>
                <w:szCs w:val="20"/>
                <w:lang w:val="pt-BR" w:eastAsia="en-US" w:bidi="ar-SA"/>
              </w:rPr>
              <w:t>Após debate, foi emitida a DELIBERAÇÃO CPUA-CAU/MG Nº 079.4/2023 com a seguinte manifestação:</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ListParagraph"/>
              <w:widowControl w:val="false"/>
              <w:suppressLineNumbers/>
              <w:suppressAutoHyphens w:val="false"/>
              <w:spacing w:lineRule="auto" w:line="276" w:before="0" w:after="0"/>
              <w:ind w:left="720" w:hanging="0"/>
              <w:rPr>
                <w:lang w:val="pt-BR"/>
              </w:rPr>
            </w:pPr>
            <w:r>
              <w:rPr>
                <w:rFonts w:eastAsia="Calibri" w:ascii="Cambria" w:hAnsi="Cambria" w:asciiTheme="majorHAnsi" w:hAnsiTheme="majorHAnsi"/>
                <w:bCs/>
                <w:color w:val="000000" w:themeColor="text1"/>
                <w:kern w:val="0"/>
                <w:sz w:val="20"/>
                <w:szCs w:val="20"/>
                <w:lang w:val="pt-BR" w:eastAsia="en-US" w:bidi="ar-SA"/>
              </w:rPr>
              <w:t>Manifestar que, assim como consta na Proposta do Colegiado de Entidades Estaduais dos Arquitetos e Urbanistas do CAU/MG, PCEAU-CAU/MG Nº 71.3.3/2023, a alteração indiscriminada das normas do Plano Diretor do Município de Belo Horizonte pode gerar insegurança jurídica e prejudicar a previsibilidade normativa necessária para atuação do profissional Arquiteto e Urbanista. Destacar que, conforme o § 4° do artigo 39 do Estatuto das Cidades, Lei Federal n° 10.257, de 10 de julho de 2022, é imprescindível a publicidade e participação popular na elaboração das normas do Plano Diretor, desta forma, deve-se rejeitar qualquer iniciativa que tente alterá-lo sem que estas estejam presentes. Portanto, a CPUA-CAU/MG manifesta-se contrária às proposições da Ação Direta de</w:t>
            </w:r>
            <w:r>
              <w:rPr>
                <w:rFonts w:eastAsia="Calibri" w:cs="Times New Roman" w:ascii="Cambria" w:hAnsi="Cambria" w:asciiTheme="majorHAnsi" w:hAnsiTheme="majorHAnsi"/>
                <w:color w:val="000000" w:themeColor="text1"/>
                <w:kern w:val="0"/>
                <w:sz w:val="20"/>
                <w:szCs w:val="20"/>
                <w:lang w:val="pt-BR" w:eastAsia="en-US" w:bidi="ar-SA"/>
              </w:rPr>
              <w:t xml:space="preserve"> Inconstitucionalidade – Plano Diretor de Belo Horizonte (n° </w:t>
            </w:r>
            <w:r>
              <w:rPr>
                <w:rFonts w:eastAsia="Calibri" w:ascii="Cambria" w:hAnsi="Cambria" w:asciiTheme="majorHAnsi" w:hAnsiTheme="majorHAnsi"/>
                <w:color w:val="000000" w:themeColor="text1"/>
                <w:kern w:val="0"/>
                <w:sz w:val="20"/>
                <w:szCs w:val="20"/>
                <w:lang w:val="pt-BR" w:eastAsia="en-US" w:bidi="ar-SA"/>
              </w:rPr>
              <w:t>1.0000.23.010032-3/000</w:t>
            </w:r>
            <w:r>
              <w:rPr>
                <w:rFonts w:eastAsia="Calibri" w:cs="Times New Roman" w:ascii="Cambria" w:hAnsi="Cambria" w:asciiTheme="majorHAnsi" w:hAnsiTheme="majorHAnsi"/>
                <w:color w:val="000000" w:themeColor="text1"/>
                <w:kern w:val="0"/>
                <w:sz w:val="20"/>
                <w:szCs w:val="20"/>
                <w:lang w:val="pt-BR" w:eastAsia="en-US" w:bidi="ar-SA"/>
              </w:rPr>
              <w:t>).</w:t>
            </w:r>
          </w:p>
          <w:p>
            <w:pPr>
              <w:pStyle w:val="Normal"/>
              <w:widowControl w:val="false"/>
              <w:suppressAutoHyphens w:val="false"/>
              <w:spacing w:before="0" w:after="0"/>
              <w:jc w:val="left"/>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808080" w:themeColor="background1" w:themeShade="80"/>
                <w:kern w:val="0"/>
                <w:sz w:val="20"/>
                <w:szCs w:val="20"/>
                <w:highlight w:val="yellow"/>
                <w:lang w:val="pt-BR" w:eastAsia="en-US" w:bidi="ar-SA"/>
              </w:rPr>
            </w:pPr>
            <w:r>
              <w:rPr>
                <w:rFonts w:eastAsia="Calibri" w:ascii="Cambria" w:hAnsi="Cambria"/>
                <w:color w:val="808080" w:themeColor="background1" w:themeShade="80"/>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Normal"/>
              <w:widowControl w:val="false"/>
              <w:suppressAutoHyphens w:val="false"/>
              <w:spacing w:lineRule="auto" w:line="360" w:before="0" w:after="0"/>
              <w:jc w:val="left"/>
              <w:rPr>
                <w:lang w:val="pt-BR"/>
              </w:rPr>
            </w:pPr>
            <w:r>
              <w:rPr>
                <w:rFonts w:eastAsia="Calibri" w:ascii="Cambria" w:hAnsi="Cambria" w:asciiTheme="majorHAnsi" w:hAnsiTheme="majorHAnsi"/>
                <w:color w:val="000000" w:themeColor="text1"/>
                <w:kern w:val="0"/>
                <w:sz w:val="20"/>
                <w:szCs w:val="20"/>
                <w:lang w:val="pt-BR" w:eastAsia="en-US" w:bidi="ar-SA"/>
              </w:rPr>
              <w:t xml:space="preserve">5. Definições sobre Seminário Conjunto com CPC-CAU/MG e CATHIS-CAU/MG. </w:t>
            </w:r>
          </w:p>
        </w:tc>
      </w:tr>
      <w:tr>
        <w:trPr>
          <w:trHeight w:val="550" w:hRule="atLeast"/>
        </w:trPr>
        <w:tc>
          <w:tcPr>
            <w:tcW w:w="10203" w:type="dxa"/>
            <w:tcBorders/>
            <w:shd w:color="auto" w:fill="auto" w:val="clear"/>
            <w:vAlign w:val="center"/>
          </w:tcPr>
          <w:p>
            <w:pPr>
              <w:pStyle w:val="Normal"/>
              <w:widowControl w:val="false"/>
              <w:suppressLineNumbers/>
              <w:suppressAutoHyphens w:val="false"/>
              <w:spacing w:before="0" w:after="0"/>
              <w:jc w:val="both"/>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Considerando a existência da Ação n° 3.1.13.1 – 4° SEMINÁRIO CONJUNTO DAS COMISSÕES ESPECIAIS (2023) no Plano de Ação do CAU/MG, às 13h50min iniciou-se a reunião conjunta da CPC-CAU/MG, CPUA-CAU/MG e CPC-CAU/MG para realização de definições referente a este Seminário. Estiveram presentes para o debate sobre este item de pauta os Conselheiros da CPUA-CAU/MG Fábio Almeida Vieira e Matheus Lopes Medeiros. Da CPC-CAU/MG estiveram presentes o(a)s Conselheiro(a)s: a) Fernanda Camargo Ferreira; b) Adriane de Almeida Matthes; e c) Ademir Nogueira de Avila. Esteve presente também a Arquiteta Analista da CPC-CAU/MG, Carolina Martins de Oliveira Barbosa. Da CPUA-CAU/MG estiveram presentes o(a)s Conselheiro(a)s: a) Rosilene Guedes Souza; b) Lucas Lima Leonel Fonseca; c) Felipe Colmanetti Moura; e d) Claudia Bernadeth Ribeiro. Decidiu-se que o Seminário de 2023 ocorrerá no mesmo formato do Seminário realizado em 2021, em três dias na parte do fim da tarde para a noite, sendo cada dia com um convidado palestrante de responsabilidade de uma Comissão Temporária. Definiu-se </w:t>
            </w:r>
            <w:r>
              <w:rPr>
                <w:rFonts w:eastAsia="Calibri" w:cs="Arial" w:ascii="Cambria" w:hAnsi="Cambria" w:asciiTheme="majorHAnsi" w:hAnsiTheme="majorHAnsi"/>
                <w:bCs/>
                <w:kern w:val="0"/>
                <w:sz w:val="20"/>
                <w:szCs w:val="20"/>
                <w:lang w:val="pt-BR" w:eastAsia="en-US" w:bidi="ar-SA"/>
              </w:rPr>
              <w:t>os dias 27/09/2023, 28/09/2023 e 29/09/2023, como data principal ou alternativamente nos dias 29/08/2023, 30/08/2023 e 31/08/2023. Definiu-se como eixo temático “Política Urbana e Ambiental e suas transversalidades”.</w:t>
            </w:r>
          </w:p>
          <w:p>
            <w:pPr>
              <w:pStyle w:val="Normal"/>
              <w:widowControl w:val="false"/>
              <w:suppressLineNumbers/>
              <w:suppressAutoHyphens w:val="false"/>
              <w:spacing w:before="0" w:after="0"/>
              <w:jc w:val="left"/>
              <w:rPr>
                <w:rFonts w:ascii="Cambria" w:hAnsi="Cambria" w:eastAsia="Calibri" w:cs="Arial" w:asciiTheme="majorHAnsi" w:hAnsiTheme="majorHAnsi"/>
                <w:bCs/>
                <w:kern w:val="0"/>
                <w:sz w:val="20"/>
                <w:szCs w:val="20"/>
                <w:lang w:val="pt-BR" w:eastAsia="en-US" w:bidi="ar-SA"/>
              </w:rPr>
            </w:pPr>
            <w:r>
              <w:rPr>
                <w:rFonts w:eastAsia="Calibri" w:cs="Arial" w:ascii="Cambria" w:hAnsi="Cambria"/>
                <w:bCs/>
                <w:kern w:val="0"/>
                <w:sz w:val="20"/>
                <w:szCs w:val="20"/>
                <w:lang w:val="pt-BR" w:eastAsia="en-US" w:bidi="ar-SA"/>
              </w:rPr>
            </w:r>
          </w:p>
          <w:p>
            <w:pPr>
              <w:pStyle w:val="Normal"/>
              <w:widowControl w:val="false"/>
              <w:suppressLineNumbers/>
              <w:suppressAutoHyphens w:val="false"/>
              <w:spacing w:before="0" w:after="0"/>
              <w:jc w:val="left"/>
              <w:rPr>
                <w:lang w:val="pt-BR"/>
              </w:rPr>
            </w:pPr>
            <w:r>
              <w:rPr>
                <w:rFonts w:eastAsia="Calibri" w:cs="Arial" w:ascii="Cambria" w:hAnsi="Cambria" w:asciiTheme="majorHAnsi" w:hAnsiTheme="majorHAnsi"/>
                <w:bCs/>
                <w:kern w:val="0"/>
                <w:sz w:val="20"/>
                <w:szCs w:val="20"/>
                <w:lang w:val="pt-BR" w:eastAsia="en-US" w:bidi="ar-SA"/>
              </w:rPr>
              <w:t xml:space="preserve">Foi emitida a Deliberação CPUA-CAU/MG Nº 79.5/2023 com todas as definições. </w:t>
            </w:r>
          </w:p>
          <w:p>
            <w:pPr>
              <w:pStyle w:val="Normal"/>
              <w:widowControl w:val="false"/>
              <w:suppressLineNumbers/>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Ficou decidido que será de responsabilidade de cada Comissão, na figura de seu coordenador, o apontamento, até a próxima reunião ordinária de cada Comissão Especial, do nome de um Palestrante e de um Debatedor.</w:t>
            </w:r>
          </w:p>
          <w:p>
            <w:pPr>
              <w:pStyle w:val="Normal"/>
              <w:widowControl w:val="false"/>
              <w:suppressLineNumbers/>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Também ficou decidido que será realizada nova reunião conjunta das Comissões Especiais no dia 05/06/2023, às 13h30min, para finalização das definições do Seminário.</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000000" w:themeColor="text1"/>
                <w:kern w:val="0"/>
                <w:sz w:val="20"/>
                <w:szCs w:val="20"/>
                <w:highlight w:val="yellow"/>
                <w:lang w:val="pt-BR" w:eastAsia="en-US" w:bidi="ar-SA"/>
              </w:rPr>
            </w:pPr>
            <w:r>
              <w:rPr>
                <w:rFonts w:eastAsia="Calibri" w:ascii="Cambria" w:hAnsi="Cambria"/>
                <w:color w:val="000000" w:themeColor="text1"/>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Normal"/>
              <w:widowControl w:val="false"/>
              <w:suppressLineNumbers/>
              <w:suppressAutoHyphens w:val="false"/>
              <w:spacing w:before="0" w:after="0"/>
              <w:jc w:val="left"/>
              <w:rPr>
                <w:lang w:val="pt-BR"/>
              </w:rPr>
            </w:pPr>
            <w:r>
              <w:rPr>
                <w:rFonts w:eastAsia="Calibri" w:ascii="Cambria" w:hAnsi="Cambria" w:asciiTheme="majorHAnsi" w:hAnsiTheme="majorHAnsi"/>
                <w:color w:val="000000" w:themeColor="text1"/>
                <w:kern w:val="0"/>
                <w:sz w:val="20"/>
                <w:szCs w:val="20"/>
                <w:lang w:val="pt-BR" w:eastAsia="en-US" w:bidi="ar-SA"/>
              </w:rPr>
              <w:t xml:space="preserve">6. Outros Assuntos. </w:t>
            </w:r>
          </w:p>
        </w:tc>
      </w:tr>
      <w:tr>
        <w:trPr>
          <w:trHeight w:val="550" w:hRule="atLeast"/>
        </w:trPr>
        <w:tc>
          <w:tcPr>
            <w:tcW w:w="10203" w:type="dxa"/>
            <w:tcBorders/>
            <w:shd w:color="auto" w:fill="auto" w:val="clear"/>
            <w:vAlign w:val="center"/>
          </w:tcPr>
          <w:p>
            <w:pPr>
              <w:pStyle w:val="Normal"/>
              <w:widowControl w:val="false"/>
              <w:suppressLineNumbers/>
              <w:suppressAutoHyphens w:val="false"/>
              <w:spacing w:before="0" w:after="0"/>
              <w:jc w:val="both"/>
              <w:rPr>
                <w:rFonts w:ascii="Cambria" w:hAnsi="Cambria" w:eastAsia="Calibri" w:asciiTheme="majorHAnsi" w:hAnsiTheme="majorHAnsi"/>
                <w:color w:val="000000" w:themeColor="text1"/>
                <w:kern w:val="0"/>
                <w:sz w:val="20"/>
                <w:szCs w:val="20"/>
                <w:lang w:val="pt-BR" w:eastAsia="en-US" w:bidi="ar-SA"/>
              </w:rPr>
            </w:pPr>
            <w:r>
              <w:rPr>
                <w:rFonts w:eastAsia="Calibri" w:ascii="Cambria" w:hAnsi="Cambria"/>
                <w:color w:val="000000" w:themeColor="text1"/>
                <w:kern w:val="0"/>
                <w:sz w:val="20"/>
                <w:szCs w:val="20"/>
                <w:lang w:val="pt-BR" w:eastAsia="en-US" w:bidi="ar-SA"/>
              </w:rPr>
            </w:r>
          </w:p>
          <w:p>
            <w:pPr>
              <w:pStyle w:val="Normal"/>
              <w:widowControl w:val="false"/>
              <w:suppressLineNumbers/>
              <w:suppressAutoHyphens w:val="false"/>
              <w:spacing w:lineRule="auto" w:line="276"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 xml:space="preserve">O Assessor Diogo destacou a necessidade de manifestação formal no sentido de alterar a convocação das reuniões da CATHIS-CAU/MG para as mesmas datas, no entanto, com o horário de </w:t>
            </w:r>
            <w:r>
              <w:rPr>
                <w:rFonts w:eastAsia="Calibri" w:cs="Times New Roman" w:ascii="Cambria" w:hAnsi="Cambria" w:asciiTheme="majorHAnsi" w:hAnsiTheme="majorHAnsi"/>
                <w:kern w:val="0"/>
                <w:sz w:val="20"/>
                <w:szCs w:val="20"/>
                <w:lang w:val="pt-BR" w:eastAsia="en-US" w:bidi="ar-SA"/>
              </w:rPr>
              <w:t>09h30min – 12h00min, tendo em vista o compartilhamento da Assessoria. Os conselheiros questionaram se não seria melhor marcar para outro dia inteiro, Considerando a possibilidade e eventual necessidade de realização de reuniões mais longas, que durem pelos dois turnos do dia, tarde e manhã.</w:t>
            </w:r>
            <w:r>
              <w:rPr>
                <w:rFonts w:eastAsia="Calibri" w:cs="Times New Roman" w:ascii="Cambria" w:hAnsi="Cambria" w:asciiTheme="majorHAnsi" w:hAnsiTheme="majorHAnsi"/>
                <w:bCs/>
                <w:color w:val="000000" w:themeColor="text1"/>
                <w:kern w:val="0"/>
                <w:sz w:val="20"/>
                <w:szCs w:val="20"/>
                <w:lang w:val="pt-BR" w:eastAsia="en-US" w:bidi="ar-SA"/>
              </w:rPr>
              <w:t xml:space="preserve"> </w:t>
            </w:r>
            <w:r>
              <w:rPr>
                <w:rFonts w:eastAsia="Calibri" w:cs="Times New Roman" w:ascii="Cambria" w:hAnsi="Cambria" w:asciiTheme="majorHAnsi" w:hAnsiTheme="majorHAnsi"/>
                <w:kern w:val="0"/>
                <w:sz w:val="20"/>
                <w:szCs w:val="20"/>
                <w:lang w:val="pt-BR" w:eastAsia="en-US" w:bidi="ar-SA"/>
              </w:rPr>
              <w:t>Desta forma, foi decidido que as datas das reuniões ordinárias da CPUA-CAU/MG serão alteradas para a quarta-feira com convocação das 9h30min às 17h00min. Portanto, as datas serão alteradas da seguinte forma: a) de 05/06/2023 para 07/06/2023; b) de 03/07/2023 para 05/07/2023; c) de 07/08/2023 para 09/08/2023; d) de 04/09/2023 para 06/09/2023; e) de 02/10/2023 para 04/10/2023; e f) de 06/11/2023 para 08/11/2023.</w:t>
            </w:r>
          </w:p>
          <w:p>
            <w:pPr>
              <w:pStyle w:val="Normal"/>
              <w:widowControl w:val="false"/>
              <w:suppressAutoHyphens w:val="false"/>
              <w:spacing w:before="0" w:after="0"/>
              <w:jc w:val="left"/>
              <w:rPr>
                <w:rFonts w:ascii="Cambria" w:hAnsi="Cambria" w:eastAsia="Calibri" w:cs="Times New Roman" w:asciiTheme="majorHAnsi" w:hAnsiTheme="majorHAnsi"/>
                <w:color w:val="000000" w:themeColor="text1"/>
                <w:kern w:val="0"/>
                <w:sz w:val="20"/>
                <w:szCs w:val="20"/>
                <w:lang w:val="pt-BR" w:eastAsia="en-US" w:bidi="ar-SA"/>
              </w:rPr>
            </w:pPr>
            <w:r>
              <w:rPr>
                <w:rFonts w:eastAsia="Calibri" w:cs="Times New Roman" w:ascii="Cambria" w:hAnsi="Cambria"/>
                <w:color w:val="000000" w:themeColor="text1"/>
                <w:kern w:val="0"/>
                <w:sz w:val="20"/>
                <w:szCs w:val="20"/>
                <w:lang w:val="pt-BR" w:eastAsia="en-US" w:bidi="ar-SA"/>
              </w:rPr>
            </w:r>
          </w:p>
        </w:tc>
      </w:tr>
      <w:tr>
        <w:trPr>
          <w:trHeight w:val="80" w:hRule="atLeast"/>
        </w:trPr>
        <w:tc>
          <w:tcPr>
            <w:tcW w:w="10203" w:type="dxa"/>
            <w:tcBorders>
              <w:left w:val="nil"/>
              <w:right w:val="nil"/>
            </w:tcBorders>
            <w:shd w:color="auto" w:fill="auto" w:val="clear"/>
            <w:vAlign w:val="center"/>
          </w:tcPr>
          <w:p>
            <w:pPr>
              <w:pStyle w:val="Normal"/>
              <w:widowControl w:val="false"/>
              <w:suppressAutoHyphens w:val="false"/>
              <w:spacing w:before="0" w:after="0"/>
              <w:jc w:val="left"/>
              <w:rPr>
                <w:rFonts w:ascii="Cambria" w:hAnsi="Cambria" w:eastAsia="Calibri" w:asciiTheme="majorHAnsi" w:hAnsiTheme="majorHAnsi"/>
                <w:color w:val="000000" w:themeColor="text1"/>
                <w:kern w:val="0"/>
                <w:sz w:val="20"/>
                <w:szCs w:val="20"/>
                <w:highlight w:val="yellow"/>
                <w:lang w:val="pt-BR" w:eastAsia="en-US" w:bidi="ar-SA"/>
              </w:rPr>
            </w:pPr>
            <w:r>
              <w:rPr>
                <w:rFonts w:eastAsia="Calibri" w:ascii="Cambria" w:hAnsi="Cambria"/>
                <w:color w:val="000000" w:themeColor="text1"/>
                <w:kern w:val="0"/>
                <w:sz w:val="20"/>
                <w:szCs w:val="20"/>
                <w:highlight w:val="yellow"/>
                <w:lang w:val="pt-BR" w:eastAsia="en-US" w:bidi="ar-SA"/>
              </w:rPr>
            </w:r>
          </w:p>
        </w:tc>
      </w:tr>
      <w:tr>
        <w:trPr>
          <w:trHeight w:val="330" w:hRule="atLeast"/>
        </w:trPr>
        <w:tc>
          <w:tcPr>
            <w:tcW w:w="10203" w:type="dxa"/>
            <w:tcBorders/>
            <w:shd w:color="auto" w:fill="D9D9D9" w:themeFill="background1" w:themeFillShade="d9" w:val="clear"/>
            <w:vAlign w:val="center"/>
          </w:tcPr>
          <w:p>
            <w:pPr>
              <w:pStyle w:val="Normal"/>
              <w:widowControl w:val="false"/>
              <w:suppressLineNumbers/>
              <w:suppressAutoHyphens w:val="false"/>
              <w:spacing w:before="0" w:after="0"/>
              <w:jc w:val="left"/>
              <w:rPr>
                <w:lang w:val="pt-BR"/>
              </w:rPr>
            </w:pPr>
            <w:r>
              <w:rPr>
                <w:rFonts w:eastAsia="Calibri" w:cs="Times New Roman" w:ascii="Cambria" w:hAnsi="Cambria" w:asciiTheme="majorHAnsi" w:hAnsiTheme="majorHAnsi"/>
                <w:color w:val="000000" w:themeColor="text1"/>
                <w:kern w:val="0"/>
                <w:sz w:val="20"/>
                <w:szCs w:val="20"/>
                <w:lang w:val="pt-BR" w:eastAsia="en-US" w:bidi="ar-SA"/>
              </w:rPr>
              <w:t>ENCERRAMENTO</w:t>
            </w:r>
          </w:p>
        </w:tc>
      </w:tr>
      <w:tr>
        <w:trPr>
          <w:trHeight w:val="550" w:hRule="atLeast"/>
        </w:trPr>
        <w:tc>
          <w:tcPr>
            <w:tcW w:w="10203" w:type="dxa"/>
            <w:tcBorders/>
            <w:shd w:color="auto" w:fill="auto" w:val="clear"/>
            <w:vAlign w:val="center"/>
          </w:tcPr>
          <w:p>
            <w:pPr>
              <w:pStyle w:val="Normal"/>
              <w:widowControl w:val="false"/>
              <w:suppressLineNumbers/>
              <w:suppressAutoHyphens w:val="false"/>
              <w:spacing w:before="0" w:after="0"/>
              <w:jc w:val="both"/>
              <w:rPr>
                <w:lang w:val="pt-BR"/>
              </w:rPr>
            </w:pPr>
            <w:r>
              <w:rPr>
                <w:rFonts w:eastAsia="Calibri" w:cs="Times New Roman" w:ascii="Cambria" w:hAnsi="Cambria" w:asciiTheme="majorHAnsi" w:hAnsiTheme="majorHAnsi"/>
                <w:color w:val="000000" w:themeColor="text1"/>
                <w:kern w:val="0"/>
                <w:sz w:val="20"/>
                <w:szCs w:val="20"/>
                <w:lang w:val="pt-BR" w:eastAsia="en-US" w:bidi="ar-SA"/>
              </w:rPr>
              <w:t>A sessão foi encerrada às 17h00min.</w:t>
            </w:r>
          </w:p>
        </w:tc>
      </w:tr>
    </w:tbl>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lang w:val="pt-BR"/>
        </w:rPr>
      </w:pPr>
      <w:r>
        <w:rPr>
          <w:rFonts w:eastAsia="" w:cs="" w:cstheme="majorBidi" w:eastAsiaTheme="majorEastAsia" w:ascii="Cambria" w:hAnsi="Cambria"/>
          <w:color w:val="000000" w:themeColor="text1"/>
          <w:sz w:val="20"/>
          <w:szCs w:val="20"/>
          <w:lang w:val="pt-BR"/>
        </w:rPr>
      </w:r>
    </w:p>
    <w:p>
      <w:pPr>
        <w:pStyle w:val="Normal"/>
        <w:spacing w:lineRule="auto" w:line="276"/>
        <w:jc w:val="center"/>
        <w:rPr>
          <w:lang w:val="pt-BR"/>
        </w:rPr>
      </w:pPr>
      <w:r>
        <w:rPr>
          <w:rFonts w:eastAsia="" w:cs="" w:ascii="Cambria" w:hAnsi="Cambria" w:asciiTheme="majorHAnsi" w:cstheme="majorBidi" w:eastAsiaTheme="majorEastAsia" w:hAnsiTheme="majorHAnsi"/>
          <w:color w:val="000000" w:themeColor="text1"/>
          <w:sz w:val="20"/>
          <w:szCs w:val="20"/>
          <w:lang w:val="pt-BR"/>
        </w:rPr>
        <w:t>Declaro, para os devidos fins de direito, que as informações acima referidas são verdadeiras e dou fé, tendo sido aprovado o presente documento com a anuência dos membros da Comissão de Política Urbana e Ambiental do CAU/MG</w:t>
      </w:r>
    </w:p>
    <w:p>
      <w:pPr>
        <w:sectPr>
          <w:headerReference w:type="default" r:id="rId2"/>
          <w:footerReference w:type="default" r:id="rId3"/>
          <w:type w:val="nextPage"/>
          <w:pgSz w:w="11906" w:h="16838"/>
          <w:pgMar w:left="851" w:right="851" w:gutter="0" w:header="720" w:top="1559" w:footer="720" w:bottom="851"/>
          <w:pgNumType w:fmt="decimal"/>
          <w:formProt w:val="false"/>
          <w:textDirection w:val="lrTb"/>
          <w:docGrid w:type="default" w:linePitch="100" w:charSpace="4096"/>
        </w:sectPr>
      </w:pP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lang w:val="pt-BR"/>
        </w:rPr>
      </w:pPr>
      <w:r>
        <w:rPr>
          <w:rFonts w:eastAsia="" w:cs="" w:ascii="Cambria" w:hAnsi="Cambria" w:asciiTheme="majorHAnsi" w:cstheme="majorBidi" w:eastAsiaTheme="majorEastAsia" w:hAnsiTheme="majorHAnsi"/>
          <w:color w:val="000000" w:themeColor="text1"/>
          <w:sz w:val="20"/>
          <w:szCs w:val="20"/>
          <w:lang w:val="pt-BR"/>
        </w:rPr>
        <w:t>____________________________________________________________________</w:t>
      </w:r>
    </w:p>
    <w:p>
      <w:pPr>
        <w:pStyle w:val="Normal"/>
        <w:spacing w:lineRule="auto" w:line="276"/>
        <w:jc w:val="center"/>
        <w:rPr>
          <w:lang w:val="pt-BR"/>
        </w:rPr>
      </w:pPr>
      <w:r>
        <w:rPr>
          <w:rFonts w:eastAsia="" w:cs="" w:ascii="Cambria" w:hAnsi="Cambria" w:asciiTheme="majorHAnsi" w:cstheme="majorBidi" w:eastAsiaTheme="majorEastAsia" w:hAnsiTheme="majorHAnsi"/>
          <w:b/>
          <w:bCs/>
          <w:color w:val="000000" w:themeColor="text1"/>
          <w:sz w:val="20"/>
          <w:szCs w:val="20"/>
          <w:lang w:val="pt-BR"/>
        </w:rPr>
        <w:t>Fábio Almeida Vieira</w:t>
      </w:r>
    </w:p>
    <w:p>
      <w:pPr>
        <w:pStyle w:val="Normal"/>
        <w:spacing w:lineRule="auto" w:line="276"/>
        <w:jc w:val="center"/>
        <w:rPr>
          <w:lang w:val="pt-BR"/>
        </w:rPr>
      </w:pPr>
      <w:r>
        <w:rPr>
          <w:rFonts w:eastAsia="" w:cs="" w:ascii="Cambria" w:hAnsi="Cambria" w:asciiTheme="majorHAnsi" w:cstheme="majorBidi" w:eastAsiaTheme="majorEastAsia" w:hAnsiTheme="majorHAnsi"/>
          <w:color w:val="000000" w:themeColor="text1"/>
          <w:sz w:val="20"/>
          <w:szCs w:val="20"/>
          <w:lang w:val="pt-BR"/>
        </w:rPr>
        <w:t>Coordenador</w:t>
      </w:r>
    </w:p>
    <w:p>
      <w:pPr>
        <w:pStyle w:val="Normal"/>
        <w:spacing w:lineRule="auto" w:line="276"/>
        <w:jc w:val="center"/>
        <w:rPr>
          <w:lang w:val="pt-BR"/>
        </w:rPr>
      </w:pPr>
      <w:r>
        <w:rPr>
          <w:rFonts w:eastAsia="" w:cs="" w:ascii="Cambria" w:hAnsi="Cambria" w:asciiTheme="majorHAnsi" w:cstheme="majorBidi" w:eastAsiaTheme="majorEastAsia" w:hAnsiTheme="majorHAnsi"/>
          <w:color w:val="000000" w:themeColor="text1"/>
          <w:sz w:val="20"/>
          <w:szCs w:val="20"/>
          <w:lang w:val="pt-BR"/>
        </w:rPr>
        <w:t>Comissão de Política Urbana e Ambiental do CAU/MG</w:t>
      </w: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rFonts w:ascii="Cambria" w:hAnsi="Cambria" w:eastAsia="" w:cs="" w:asciiTheme="majorHAnsi" w:cstheme="majorBidi" w:eastAsiaTheme="majorEastAsia" w:hAnsiTheme="majorHAnsi"/>
          <w:color w:val="000000" w:themeColor="text1"/>
          <w:sz w:val="20"/>
          <w:szCs w:val="20"/>
        </w:rPr>
      </w:pPr>
      <w:r>
        <w:rPr>
          <w:lang w:val="pt-BR"/>
        </w:rPr>
      </w:r>
    </w:p>
    <w:p>
      <w:pPr>
        <w:pStyle w:val="Normal"/>
        <w:spacing w:lineRule="auto" w:line="276"/>
        <w:jc w:val="center"/>
        <w:rPr>
          <w:lang w:val="pt-BR"/>
        </w:rPr>
      </w:pPr>
      <w:r>
        <w:rPr>
          <w:rFonts w:eastAsia="" w:cs="" w:ascii="Cambria" w:hAnsi="Cambria" w:asciiTheme="majorHAnsi" w:cstheme="majorBidi" w:eastAsiaTheme="majorEastAsia" w:hAnsiTheme="majorHAnsi"/>
          <w:color w:val="000000" w:themeColor="text1"/>
          <w:sz w:val="20"/>
          <w:szCs w:val="20"/>
          <w:lang w:val="pt-BR"/>
        </w:rPr>
        <w:t>____________________________________________________________________</w:t>
      </w:r>
    </w:p>
    <w:p>
      <w:pPr>
        <w:pStyle w:val="Normal"/>
        <w:spacing w:lineRule="auto" w:line="276"/>
        <w:jc w:val="center"/>
        <w:rPr>
          <w:lang w:val="pt-BR"/>
        </w:rPr>
      </w:pPr>
      <w:r>
        <w:rPr>
          <w:rFonts w:eastAsia="" w:cs="" w:ascii="Cambria" w:hAnsi="Cambria" w:asciiTheme="majorHAnsi" w:cstheme="majorBidi" w:eastAsiaTheme="majorEastAsia" w:hAnsiTheme="majorHAnsi"/>
          <w:b/>
          <w:bCs/>
          <w:color w:val="000000" w:themeColor="text1"/>
          <w:sz w:val="20"/>
          <w:szCs w:val="20"/>
          <w:lang w:val="pt-BR"/>
        </w:rPr>
        <w:t>Diogo U. Braga</w:t>
      </w:r>
    </w:p>
    <w:p>
      <w:pPr>
        <w:pStyle w:val="Normal"/>
        <w:spacing w:lineRule="auto" w:line="276"/>
        <w:jc w:val="center"/>
        <w:rPr>
          <w:lang w:val="pt-BR"/>
        </w:rPr>
      </w:pPr>
      <w:r>
        <w:rPr>
          <w:rFonts w:eastAsia="" w:cs="" w:ascii="Cambria" w:hAnsi="Cambria" w:asciiTheme="majorHAnsi" w:cstheme="majorBidi" w:eastAsiaTheme="majorEastAsia" w:hAnsiTheme="majorHAnsi"/>
          <w:color w:val="000000" w:themeColor="text1"/>
          <w:sz w:val="20"/>
          <w:szCs w:val="20"/>
          <w:lang w:val="pt-BR"/>
        </w:rPr>
        <w:t>Arquiteto Analista – Assessor Técnico</w:t>
      </w:r>
    </w:p>
    <w:p>
      <w:pPr>
        <w:pStyle w:val="Normal"/>
        <w:spacing w:lineRule="auto" w:line="276"/>
        <w:jc w:val="center"/>
        <w:rPr>
          <w:lang w:val="pt-BR"/>
        </w:rPr>
      </w:pPr>
      <w:r>
        <w:rPr>
          <w:rFonts w:eastAsia="" w:cs="" w:ascii="Cambria" w:hAnsi="Cambria" w:asciiTheme="majorHAnsi" w:cstheme="majorBidi" w:eastAsiaTheme="majorEastAsia" w:hAnsiTheme="majorHAnsi"/>
          <w:color w:val="000000" w:themeColor="text1"/>
          <w:sz w:val="20"/>
          <w:szCs w:val="20"/>
          <w:lang w:val="pt-BR"/>
        </w:rPr>
        <w:t>Comissão de Política Urbana e Ambiental do CAU/MG</w:t>
      </w:r>
    </w:p>
    <w:p>
      <w:pPr>
        <w:sectPr>
          <w:type w:val="continuous"/>
          <w:pgSz w:w="11906" w:h="16838"/>
          <w:pgMar w:left="851" w:right="851" w:gutter="0" w:header="720" w:top="1559" w:footer="720" w:bottom="851"/>
          <w:cols w:num="2" w:space="0" w:equalWidth="true" w:sep="false"/>
          <w:formProt w:val="false"/>
          <w:textDirection w:val="lrTb"/>
          <w:docGrid w:type="default" w:linePitch="100" w:charSpace="4096"/>
        </w:sectPr>
      </w:pPr>
    </w:p>
    <w:p>
      <w:pPr>
        <w:pStyle w:val="Normal"/>
        <w:spacing w:lineRule="auto" w:line="276"/>
        <w:jc w:val="center"/>
        <w:rPr>
          <w:rFonts w:ascii="Cambria" w:hAnsi="Cambria" w:eastAsia="Cambria" w:cs="Cambria" w:asciiTheme="majorHAnsi" w:hAnsiTheme="majorHAnsi"/>
          <w:color w:val="808080" w:themeColor="background1" w:themeShade="80"/>
          <w:sz w:val="20"/>
          <w:szCs w:val="20"/>
        </w:rPr>
      </w:pPr>
      <w:r>
        <w:rPr>
          <w:lang w:val="pt-BR"/>
        </w:rPr>
      </w:r>
    </w:p>
    <w:sectPr>
      <w:type w:val="continuous"/>
      <w:pgSz w:w="11906" w:h="16838"/>
      <w:pgMar w:left="851" w:right="851" w:gutter="0" w:header="720" w:top="1559" w:footer="720" w:bottom="85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lang w:val="pt-BR"/>
      </w:rPr>
    </w:pPr>
    <w:r>
      <w:rPr>
        <w:lang w:val="pt-BR"/>
      </w:rPr>
      <w:drawing>
        <wp:anchor behindDoc="1" distT="0" distB="0" distL="0" distR="0" simplePos="0" locked="0" layoutInCell="0" allowOverlap="1" relativeHeight="11">
          <wp:simplePos x="0" y="0"/>
          <wp:positionH relativeFrom="column">
            <wp:posOffset>-548640</wp:posOffset>
          </wp:positionH>
          <wp:positionV relativeFrom="paragraph">
            <wp:posOffset>69215</wp:posOffset>
          </wp:positionV>
          <wp:extent cx="7559675" cy="541655"/>
          <wp:effectExtent l="0" t="0" r="0" b="0"/>
          <wp:wrapNone/>
          <wp:docPr id="2"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lang w:val="pt-BR"/>
      </w:rPr>
    </w:pPr>
    <w:r>
      <w:rPr>
        <w:lang w:val="pt-BR"/>
      </w:rPr>
      <w:drawing>
        <wp:anchor behindDoc="1" distT="0" distB="0" distL="0" distR="0" simplePos="0" locked="0" layoutInCell="0" allowOverlap="1" relativeHeight="6">
          <wp:simplePos x="0" y="0"/>
          <wp:positionH relativeFrom="margin">
            <wp:posOffset>-536575</wp:posOffset>
          </wp:positionH>
          <wp:positionV relativeFrom="margin">
            <wp:posOffset>-977900</wp:posOffset>
          </wp:positionV>
          <wp:extent cx="7560310" cy="900430"/>
          <wp:effectExtent l="0" t="0" r="0" b="0"/>
          <wp:wrapNone/>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color w:val="000000" w:themeColor="text1"/>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a82386"/>
    <w:pPr>
      <w:widowControl w:val="false"/>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eastAsia="en-US" w:bidi="ar-SA" w:val="pt-BR"/>
    </w:rPr>
  </w:style>
  <w:style w:type="paragraph" w:styleId="Ttulo1">
    <w:name w:val="Heading 1"/>
    <w:basedOn w:val="Normal"/>
    <w:uiPriority w:val="1"/>
    <w:qFormat/>
    <w:pPr>
      <w:spacing w:before="48" w:after="0"/>
      <w:ind w:right="112" w:hanging="0"/>
      <w:jc w:val="right"/>
      <w:outlineLvl w:val="0"/>
    </w:pPr>
    <w:rPr>
      <w:rFonts w:ascii="Cambria" w:hAnsi="Cambria" w:eastAsia="Cambria" w:cs="Cambria"/>
      <w:sz w:val="24"/>
      <w:szCs w:val="24"/>
    </w:rPr>
  </w:style>
  <w:style w:type="paragraph" w:styleId="Ttulo2">
    <w:name w:val="Heading 2"/>
    <w:basedOn w:val="Normal"/>
    <w:uiPriority w:val="1"/>
    <w:qFormat/>
    <w:pPr>
      <w:ind w:left="2024" w:right="2031" w:hanging="0"/>
      <w:jc w:val="center"/>
      <w:outlineLvl w:val="1"/>
    </w:pPr>
    <w:rPr>
      <w:b/>
      <w:bC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7e22c9"/>
    <w:rPr>
      <w:rFonts w:ascii="Calibri" w:hAnsi="Calibri" w:eastAsia="Calibri" w:cs="Calibri"/>
    </w:rPr>
  </w:style>
  <w:style w:type="character" w:styleId="RodapChar" w:customStyle="1">
    <w:name w:val="Rodapé Char"/>
    <w:basedOn w:val="DefaultParagraphFont"/>
    <w:uiPriority w:val="99"/>
    <w:qFormat/>
    <w:rsid w:val="007e22c9"/>
    <w:rPr>
      <w:rFonts w:ascii="Calibri" w:hAnsi="Calibri" w:eastAsia="Calibri" w:cs="Calibri"/>
    </w:rPr>
  </w:style>
  <w:style w:type="character" w:styleId="TextodebaloChar" w:customStyle="1">
    <w:name w:val="Texto de balão Char"/>
    <w:basedOn w:val="DefaultParagraphFont"/>
    <w:link w:val="BalloonText"/>
    <w:uiPriority w:val="99"/>
    <w:semiHidden/>
    <w:qFormat/>
    <w:rsid w:val="0093454b"/>
    <w:rPr>
      <w:rFonts w:ascii="Tahoma" w:hAnsi="Tahoma" w:eastAsia="Calibri" w:cs="Tahoma"/>
      <w:sz w:val="16"/>
      <w:szCs w:val="16"/>
    </w:rPr>
  </w:style>
  <w:style w:type="character" w:styleId="Annotationreference">
    <w:name w:val="annotation reference"/>
    <w:basedOn w:val="DefaultParagraphFont"/>
    <w:uiPriority w:val="99"/>
    <w:semiHidden/>
    <w:unhideWhenUsed/>
    <w:qFormat/>
    <w:rsid w:val="008d4a78"/>
    <w:rPr>
      <w:sz w:val="16"/>
      <w:szCs w:val="16"/>
    </w:rPr>
  </w:style>
  <w:style w:type="character" w:styleId="TextodecomentrioChar" w:customStyle="1">
    <w:name w:val="Texto de comentário Char"/>
    <w:basedOn w:val="DefaultParagraphFont"/>
    <w:link w:val="Annotationtext"/>
    <w:uiPriority w:val="99"/>
    <w:semiHidden/>
    <w:qFormat/>
    <w:rsid w:val="008d4a78"/>
    <w:rPr>
      <w:rFonts w:ascii="Calibri" w:hAnsi="Calibri" w:eastAsia="Calibri" w:cs="Calibri"/>
      <w:sz w:val="20"/>
      <w:szCs w:val="20"/>
    </w:rPr>
  </w:style>
  <w:style w:type="character" w:styleId="AssuntodocomentrioChar" w:customStyle="1">
    <w:name w:val="Assunto do comentário Char"/>
    <w:basedOn w:val="TextodecomentrioChar"/>
    <w:link w:val="Annotationsubject"/>
    <w:uiPriority w:val="99"/>
    <w:semiHidden/>
    <w:qFormat/>
    <w:rsid w:val="008d4a78"/>
    <w:rPr>
      <w:rFonts w:ascii="Calibri" w:hAnsi="Calibri" w:eastAsia="Calibri" w:cs="Calibri"/>
      <w:b/>
      <w:bCs/>
      <w:sz w:val="20"/>
      <w:szCs w:val="20"/>
    </w:rPr>
  </w:style>
  <w:style w:type="character" w:styleId="Smbolosdenumerao" w:customStyle="1">
    <w:name w:val="Símbolos de numeração"/>
    <w:qFormat/>
    <w:rPr/>
  </w:style>
  <w:style w:type="character" w:styleId="Normaltextrun" w:customStyle="1">
    <w:name w:val="normaltextrun"/>
    <w:basedOn w:val="DefaultParagraphFont"/>
    <w:qFormat/>
    <w:rsid w:val="00cf0c93"/>
    <w:rPr/>
  </w:style>
  <w:style w:type="character" w:styleId="Eop" w:customStyle="1">
    <w:name w:val="eop"/>
    <w:basedOn w:val="DefaultParagraphFont"/>
    <w:qFormat/>
    <w:rsid w:val="00cf0c93"/>
    <w:rPr/>
  </w:style>
  <w:style w:type="character" w:styleId="Fontstyle01" w:customStyle="1">
    <w:name w:val="fontstyle01"/>
    <w:basedOn w:val="DefaultParagraphFont"/>
    <w:qFormat/>
    <w:rsid w:val="002469b4"/>
    <w:rPr>
      <w:rFonts w:ascii="Cambria" w:hAnsi="Cambria"/>
      <w:b w:val="false"/>
      <w:bCs w:val="false"/>
      <w:i w:val="false"/>
      <w:iCs w:val="false"/>
      <w:color w:val="000000"/>
      <w:sz w:val="20"/>
      <w:szCs w:val="20"/>
    </w:rPr>
  </w:style>
  <w:style w:type="character" w:styleId="Contentpasted0" w:customStyle="1">
    <w:name w:val="contentpasted0"/>
    <w:basedOn w:val="DefaultParagraphFont"/>
    <w:qFormat/>
    <w:rsid w:val="0052050c"/>
    <w:rPr/>
  </w:style>
  <w:style w:type="character" w:styleId="Contentpasted2" w:customStyle="1">
    <w:name w:val="contentpasted2"/>
    <w:basedOn w:val="DefaultParagraphFont"/>
    <w:qFormat/>
    <w:rsid w:val="0052050c"/>
    <w:rPr/>
  </w:style>
  <w:style w:type="character" w:styleId="LinkdaInternet">
    <w:name w:val="Hyperlink"/>
    <w:basedOn w:val="DefaultParagraphFont"/>
    <w:uiPriority w:val="99"/>
    <w:unhideWhenUsed/>
    <w:rsid w:val="00d21ecd"/>
    <w:rPr>
      <w:color w:val="0000FF" w:themeColor="hyperlink"/>
      <w:u w:val="single"/>
    </w:rPr>
  </w:style>
  <w:style w:type="character" w:styleId="UnresolvedMention" w:customStyle="1">
    <w:name w:val="Unresolved Mention"/>
    <w:basedOn w:val="DefaultParagraphFont"/>
    <w:uiPriority w:val="99"/>
    <w:semiHidden/>
    <w:unhideWhenUsed/>
    <w:qFormat/>
    <w:rsid w:val="00d21ecd"/>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uiPriority w:val="1"/>
    <w:qFormat/>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pPr>
      <w:ind w:left="101" w:hanging="0"/>
      <w:jc w:val="both"/>
    </w:pPr>
    <w:rPr/>
  </w:style>
  <w:style w:type="paragraph" w:styleId="TableParagraph" w:customStyle="1">
    <w:name w:val="Table Paragraph"/>
    <w:basedOn w:val="Normal"/>
    <w:uiPriority w:val="1"/>
    <w:qFormat/>
    <w:pPr>
      <w:ind w:left="3" w:hanging="0"/>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7e22c9"/>
    <w:pPr>
      <w:tabs>
        <w:tab w:val="clear" w:pos="720"/>
        <w:tab w:val="center" w:pos="4252" w:leader="none"/>
        <w:tab w:val="right" w:pos="8504" w:leader="none"/>
      </w:tabs>
    </w:pPr>
    <w:rPr/>
  </w:style>
  <w:style w:type="paragraph" w:styleId="Rodap">
    <w:name w:val="Footer"/>
    <w:basedOn w:val="Normal"/>
    <w:link w:val="RodapChar"/>
    <w:uiPriority w:val="99"/>
    <w:unhideWhenUsed/>
    <w:rsid w:val="007e22c9"/>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93454b"/>
    <w:pPr/>
    <w:rPr>
      <w:rFonts w:ascii="Tahoma" w:hAnsi="Tahoma" w:cs="Tahoma"/>
      <w:sz w:val="16"/>
      <w:szCs w:val="16"/>
    </w:rPr>
  </w:style>
  <w:style w:type="paragraph" w:styleId="Annotationtext">
    <w:name w:val="annotation text"/>
    <w:basedOn w:val="Normal"/>
    <w:link w:val="TextodecomentrioChar"/>
    <w:uiPriority w:val="99"/>
    <w:semiHidden/>
    <w:unhideWhenUsed/>
    <w:qFormat/>
    <w:rsid w:val="008d4a78"/>
    <w:pPr/>
    <w:rPr>
      <w:sz w:val="20"/>
      <w:szCs w:val="20"/>
    </w:rPr>
  </w:style>
  <w:style w:type="paragraph" w:styleId="Annotationsubject">
    <w:name w:val="annotation subject"/>
    <w:basedOn w:val="Annotationtext"/>
    <w:next w:val="Annotationtext"/>
    <w:link w:val="AssuntodocomentrioChar"/>
    <w:uiPriority w:val="99"/>
    <w:semiHidden/>
    <w:unhideWhenUsed/>
    <w:qFormat/>
    <w:rsid w:val="008d4a78"/>
    <w:pPr/>
    <w:rPr>
      <w:b/>
      <w:bCs/>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Paragraph" w:customStyle="1">
    <w:name w:val="paragraph"/>
    <w:basedOn w:val="Normal"/>
    <w:qFormat/>
    <w:rsid w:val="00cf0c93"/>
    <w:pPr>
      <w:widowControl/>
      <w:suppressAutoHyphens w:val="false"/>
      <w:spacing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
    <w:name w:val="Table Grid"/>
    <w:basedOn w:val="Tabelanormal"/>
    <w:uiPriority w:val="39"/>
    <w:rsid w:val="000871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uiPriority w:val="39"/>
    <w:rsid w:val="00a4135f"/>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uiPriority w:val="39"/>
    <w:rsid w:val="008724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6912-5317-449C-95B4-CEFC13BF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LibreOffice/7.5.0.3$Windows_X86_64 LibreOffice_project/c21113d003cd3efa8c53188764377a8272d9d6de</Application>
  <AppVersion>15.0000</AppVersion>
  <Pages>5</Pages>
  <Words>1836</Words>
  <Characters>10891</Characters>
  <CharactersWithSpaces>12646</CharactersWithSpaces>
  <Paragraphs>112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2023-05-11T18:39:00Z</dcterms:created>
  <dc:creator>camila.goncalves</dc:creator>
  <dc:description/>
  <cp:keywords>Proposta Proposta de Deliberação Plenária cobrança administrativa judicial e divida ativa ultima versão 26112014</cp:keywords>
  <dc:language>pt-BR</dc:language>
  <cp:lastModifiedBy/>
  <cp:lastPrinted>2017-05-11T17:11:00Z</cp:lastPrinted>
  <dcterms:modified xsi:type="dcterms:W3CDTF">2023-05-13T18:51:46Z</dcterms:modified>
  <cp:revision>5</cp:revision>
  <dc:subject>Proposta de Deliberação Plenária cobrança administrativa judicial e divida ativa ultima versão 26112014</dc:subject>
  <dc:title>Proposta de Deliberação Plenária cobrança administrativa judicial e divida ativa ultima versão 26112014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HyperlinksChanged">
    <vt:bool>0</vt:bool>
  </property>
  <property fmtid="{D5CDD505-2E9C-101B-9397-08002B2CF9AE}" pid="5" name="LastSaved">
    <vt:filetime>2016-05-03T00:00:00Z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