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B425745" w14:textId="1223A5F5" w:rsidR="000A74CB" w:rsidRDefault="000A74CB" w:rsidP="000A74CB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0A74CB"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>
              <w:rPr>
                <w:rFonts w:asciiTheme="majorHAnsi" w:hAnsiTheme="majorHAnsi"/>
                <w:b/>
                <w:lang w:val="pt-BR"/>
              </w:rPr>
              <w:t xml:space="preserve">ESPECIAL </w:t>
            </w:r>
            <w:r w:rsidRPr="000A74CB">
              <w:rPr>
                <w:rFonts w:asciiTheme="majorHAnsi" w:hAnsiTheme="majorHAnsi"/>
                <w:b/>
                <w:lang w:val="pt-BR"/>
              </w:rPr>
              <w:t xml:space="preserve">DE ASSISTÊNCIA TÉCNICA PARA HABITAÇÃO DE INTERESSE SOCIAL </w:t>
            </w:r>
          </w:p>
          <w:p w14:paraId="72747B13" w14:textId="14A5EA00" w:rsidR="002A57A5" w:rsidRPr="0095776C" w:rsidRDefault="007958C6" w:rsidP="000A74CB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0A74CB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080F55">
              <w:rPr>
                <w:rFonts w:ascii="Cambria" w:eastAsia="Calibri" w:hAnsi="Cambria" w:cs="Times New Roman"/>
                <w:b/>
                <w:lang w:val="pt-BR"/>
              </w:rPr>
              <w:t>7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CCE8333" w:rsidR="002A57A5" w:rsidRPr="00332061" w:rsidRDefault="000A74CB" w:rsidP="000A74C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06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080F5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março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03C255E" w:rsidR="002A57A5" w:rsidRPr="00332061" w:rsidRDefault="000A74C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5097363" w:rsidR="002A57A5" w:rsidRPr="00332061" w:rsidRDefault="000A74CB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Convocação: 09h30min – 12h00min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69C1B500" w:rsidR="000B24B8" w:rsidRPr="00332061" w:rsidRDefault="00080F55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A74C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685EDA92" w:rsidR="000B24B8" w:rsidRPr="00332061" w:rsidRDefault="00080F55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447B6B68" w:rsidR="000747FA" w:rsidRPr="00332061" w:rsidRDefault="00080F5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A74C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7557C8FD" w:rsidR="000747FA" w:rsidRPr="00332061" w:rsidRDefault="00080F55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7CF92B08" w:rsidR="000747FA" w:rsidRPr="00332061" w:rsidRDefault="00080F5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5181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52E28B3F" w:rsidR="000747FA" w:rsidRPr="00332061" w:rsidRDefault="0036334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6334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Flávia Mosqueira </w:t>
            </w:r>
            <w:proofErr w:type="spellStart"/>
            <w:r w:rsidRPr="0036334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Possato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26EAC97A" w:rsidR="000747FA" w:rsidRPr="00332061" w:rsidRDefault="003A213D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A213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 Eventos - CAU/MG</w:t>
            </w:r>
          </w:p>
        </w:tc>
      </w:tr>
      <w:tr w:rsidR="000747FA" w:rsidRPr="00332061" w14:paraId="10C51EDA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5A3E38C6" w:rsidR="000747FA" w:rsidRPr="00332061" w:rsidRDefault="00363340" w:rsidP="00551814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6334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Rita Gomes Lopes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5408B8B5" w:rsidR="000747FA" w:rsidRPr="00332061" w:rsidRDefault="003A213D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A213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Planejamento - CAU/MG</w:t>
            </w:r>
          </w:p>
        </w:tc>
      </w:tr>
      <w:tr w:rsidR="00A71DB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BEF9C3F" w:rsidR="00A71DBF" w:rsidRPr="00332061" w:rsidRDefault="000A74CB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A71DB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1D4663C0" w:rsidR="00A71DBF" w:rsidRPr="00332061" w:rsidRDefault="00A71DBF" w:rsidP="009838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3A213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A71DB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3A818997" w14:textId="77777777" w:rsidR="00080F55" w:rsidRPr="00080F55" w:rsidRDefault="00080F55" w:rsidP="003A213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>Apreciação do e-mail da Assessoria de Eventos do CAU/MG sobre proposta de participação no “Seminário de Estudos Avançados em Regularização Fundiária”, a ser realizado nos dias 16, 17 e 18 de maio de 2023, em Curitiba/PR, pelo Instituto Habita;</w:t>
            </w:r>
          </w:p>
          <w:p w14:paraId="1C14D6C3" w14:textId="77777777" w:rsidR="00080F55" w:rsidRPr="00080F55" w:rsidRDefault="00080F55" w:rsidP="003A213D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>Presença da Assessoria de Eventos para orientações referentes a realização do evento</w:t>
            </w:r>
          </w:p>
          <w:p w14:paraId="667FC0DE" w14:textId="77777777" w:rsidR="00080F55" w:rsidRPr="00080F55" w:rsidRDefault="00080F55" w:rsidP="003A213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3.1.16 - III SEMINÁRIO ATHIS: EXPERIÊNCIA DOS EDITAIS DO CAU/MG </w:t>
            </w:r>
          </w:p>
          <w:p w14:paraId="4FB27B09" w14:textId="66851ECF" w:rsidR="00A71DBF" w:rsidRPr="003A213D" w:rsidRDefault="00080F55" w:rsidP="003A213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>Apreciação ampliada da minuta do projeto piloto de Núcleo de Práticas em ATHIS, o Conselheiro Lucas Lima Leonel Fonseca pediu a convocação da Gerente de Planejamento e do Gerente Geral para elucidação do tema tratado durante reunião da ALMG.</w:t>
            </w:r>
            <w:r w:rsidR="00272DC9" w:rsidRPr="003A213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A71DBF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160080FE" w:rsidR="00A71DBF" w:rsidRPr="00332061" w:rsidRDefault="00A71DBF" w:rsidP="009838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838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3A213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04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0C421CEC" w:rsidR="008C6AF6" w:rsidRDefault="008C6AF6">
      <w:pPr>
        <w:widowControl/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332061" w14:paraId="3654850E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7D80C15" w14:textId="2163A029" w:rsidR="00332061" w:rsidRPr="00332061" w:rsidRDefault="003A213D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51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05DFC1F" w:rsidR="008C6AF6" w:rsidRPr="00080F55" w:rsidRDefault="008C6AF6" w:rsidP="00080F5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080F55" w:rsidRPr="00080F55">
              <w:rPr>
                <w:rFonts w:asciiTheme="majorHAnsi" w:hAnsiTheme="majorHAnsi"/>
                <w:sz w:val="20"/>
                <w:szCs w:val="20"/>
                <w:lang w:val="pt-BR"/>
              </w:rPr>
              <w:t>Apreciação do e-mail da Assessoria de Eventos do CAU/MG sobre proposta de participação no “Seminário de Estudos Avançados em Regularização Fundiária”, a ser realizado nos dias 16, 17 e 18 de maio de 2023, em Curitiba/PR, pelo Instituto Habita;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7965021" w14:textId="569B0511" w:rsidR="00F430AE" w:rsidRPr="00F430AE" w:rsidRDefault="00473CA8" w:rsidP="00F430AE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Conselheiros apreciaram</w:t>
            </w:r>
            <w:r w:rsidR="00F430AE"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conteúdo pragmático do evento em epígrafe que inclui </w:t>
            </w:r>
            <w:r w:rsid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seguintes tópicos</w:t>
            </w:r>
            <w:r w:rsidR="00F430AE"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7C8CC772" w14:textId="77777777" w:rsidR="00F430AE" w:rsidRPr="00F430AE" w:rsidRDefault="00F430AE" w:rsidP="00F430AE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348D248C" w14:textId="34E11E15" w:rsidR="00F430AE" w:rsidRPr="00473CA8" w:rsidRDefault="00F430AE" w:rsidP="00473CA8">
            <w:pPr>
              <w:pStyle w:val="PargrafodaLista"/>
              <w:numPr>
                <w:ilvl w:val="0"/>
                <w:numId w:val="26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IMPLANTANDO A REURB NO MUNICÍPIO: A necessidade na promoção da Regularização Fundiária, Aspectos </w:t>
            </w:r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>relevantes sobre a Lei Municipal de REURB, Plataforma + Brasil obtenção de recursos para REURB</w:t>
            </w:r>
          </w:p>
          <w:p w14:paraId="0B852DA0" w14:textId="62A23EF7" w:rsidR="00F430AE" w:rsidRPr="00473CA8" w:rsidRDefault="00F430AE" w:rsidP="00473CA8">
            <w:pPr>
              <w:pStyle w:val="PargrafodaLista"/>
              <w:numPr>
                <w:ilvl w:val="0"/>
                <w:numId w:val="26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PROCESSO DE REURB: Legitimação Fundiária </w:t>
            </w:r>
            <w:proofErr w:type="gramStart"/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x</w:t>
            </w:r>
            <w:proofErr w:type="gramEnd"/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Legitimação de Posse e o Marco temporal, Quais os aspectos processuais mais importantes na realização da REURB? CRF + Cronograma de Obras + Termo de Compromisso</w:t>
            </w:r>
          </w:p>
          <w:p w14:paraId="7AB25C41" w14:textId="344E3468" w:rsidR="00F430AE" w:rsidRPr="00473CA8" w:rsidRDefault="00F430AE" w:rsidP="00473CA8">
            <w:pPr>
              <w:pStyle w:val="PargrafodaLista"/>
              <w:numPr>
                <w:ilvl w:val="0"/>
                <w:numId w:val="26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FATORES EXTERNOS DA REURB: Fase Cartorária da REURB, Plano Diretor e a Regularização Fundiária, REURB Sustentável, Impactos da REURB, </w:t>
            </w:r>
            <w:r w:rsidR="00DF1B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que pode mudar com o SERP</w:t>
            </w:r>
            <w:r w:rsidRPr="00473C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? (Nova Lei 14.382/22).</w:t>
            </w:r>
          </w:p>
          <w:p w14:paraId="28A3E0B3" w14:textId="31EFE994" w:rsidR="00F430AE" w:rsidRDefault="00F430AE" w:rsidP="00F430AE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BE08F3B" w14:textId="4D0A437A" w:rsidR="00F430AE" w:rsidRPr="00F430AE" w:rsidRDefault="00234A45" w:rsidP="00F430AE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Após um debate, os conselheiros </w:t>
            </w:r>
            <w:r w:rsid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julgaram procedente a participação da comissão e do assessor no evento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9C4A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já que o tema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é de grande importância e relevância para a Comissão e tem muito impacto na questão da </w:t>
            </w:r>
            <w:r w:rsidR="00A72F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Assistência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</w:t>
            </w:r>
            <w:r w:rsidR="0090056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é</w:t>
            </w:r>
            <w:r w:rsidR="00A72F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cnica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0056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abitação de Interesse S</w:t>
            </w:r>
            <w:r w:rsidR="00A72F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ocial</w:t>
            </w:r>
            <w:r w:rsid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9C4A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Deliberaram por efetuar uma consulta ao evento para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verificar</w:t>
            </w:r>
            <w:r w:rsidR="009C4A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possibilidade de descontos na participação dos membros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além de solicitar uma </w:t>
            </w:r>
            <w:r w:rsidR="009C4A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análise orç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amentária perante a Gerência Administrativa e Financeira.</w:t>
            </w:r>
          </w:p>
          <w:p w14:paraId="3952C213" w14:textId="18A6FB21" w:rsidR="00DF1989" w:rsidRPr="00F430AE" w:rsidRDefault="00080F55" w:rsidP="00272DC9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Foi elaborada a deliberação DCATHIS 4</w:t>
            </w:r>
            <w:r w:rsidR="00BC5BAF"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BC5BAF"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Pr="00F430A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que dispõe sobre os encaminhamentos necessários</w:t>
            </w:r>
            <w:r w:rsidR="00174DD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56EA" w14:textId="0B9C6B17" w:rsidR="00080F55" w:rsidRPr="00080F55" w:rsidRDefault="00080F55" w:rsidP="00080F5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Presença da Assessoria de Eventos para orientações referentes a realização do evento 3.1.16 - III SEMINÁRIO ATHIS: EXPERIÊNCIA DOS EDITAIS DO CAU/MG </w:t>
            </w:r>
          </w:p>
          <w:p w14:paraId="08D840C5" w14:textId="0F8228B7" w:rsidR="008C6AF6" w:rsidRPr="00080F55" w:rsidRDefault="008C6AF6" w:rsidP="00080F55">
            <w:pPr>
              <w:widowControl/>
              <w:suppressLineNumbers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1E66D69F" w:rsidR="007E1569" w:rsidRPr="00B14066" w:rsidRDefault="00B14066" w:rsidP="00D71D13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B14066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Assessora de</w:t>
            </w:r>
            <w:r w:rsidRPr="003A213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Eventos</w:t>
            </w:r>
            <w:r w:rsidRPr="00B14066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Flávia Mosqueira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pt-BR"/>
              </w:rPr>
              <w:t>Possato</w:t>
            </w:r>
            <w:proofErr w:type="spellEnd"/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8A5FD1">
              <w:rPr>
                <w:rFonts w:ascii="Cambria" w:hAnsi="Cambria"/>
                <w:sz w:val="20"/>
                <w:szCs w:val="20"/>
                <w:lang w:val="pt-BR"/>
              </w:rPr>
              <w:t xml:space="preserve">elucidou que a assessoria de eventos está alinhada para realizar o evento de lançamento do Edital de </w:t>
            </w:r>
            <w:r w:rsidR="00C93CEF">
              <w:rPr>
                <w:rFonts w:ascii="Cambria" w:hAnsi="Cambria"/>
                <w:sz w:val="20"/>
                <w:szCs w:val="20"/>
                <w:lang w:val="pt-BR"/>
              </w:rPr>
              <w:t>patrocínio</w:t>
            </w:r>
            <w:r w:rsidR="008A5FD1">
              <w:rPr>
                <w:rFonts w:ascii="Cambria" w:hAnsi="Cambria"/>
                <w:sz w:val="20"/>
                <w:szCs w:val="20"/>
                <w:lang w:val="pt-BR"/>
              </w:rPr>
              <w:t xml:space="preserve"> ATHIS 2023, </w:t>
            </w:r>
            <w:r w:rsidR="00E5382F">
              <w:rPr>
                <w:rFonts w:ascii="Cambria" w:hAnsi="Cambria"/>
                <w:sz w:val="20"/>
                <w:szCs w:val="20"/>
                <w:lang w:val="pt-BR"/>
              </w:rPr>
              <w:t xml:space="preserve">se dispôs a realizar os convites aos palestrantes e demais encaminhamentos, </w:t>
            </w:r>
            <w:r w:rsidR="008A5FD1">
              <w:rPr>
                <w:rFonts w:ascii="Cambria" w:hAnsi="Cambria"/>
                <w:sz w:val="20"/>
                <w:szCs w:val="20"/>
                <w:lang w:val="pt-BR"/>
              </w:rPr>
              <w:t>tendo como proposta inicial a data provável de 19 de abril, mas que a data dependeria de um retorno do seto</w:t>
            </w:r>
            <w:r w:rsidR="00E5382F">
              <w:rPr>
                <w:rFonts w:ascii="Cambria" w:hAnsi="Cambria"/>
                <w:sz w:val="20"/>
                <w:szCs w:val="20"/>
                <w:lang w:val="pt-BR"/>
              </w:rPr>
              <w:t>r jurídico quanto a finalização do Edital.</w:t>
            </w:r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272DC9" w:rsidRPr="00332061" w:rsidRDefault="00272DC9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6208A2C3" w:rsidR="008C6AF6" w:rsidRPr="00080F55" w:rsidRDefault="00080F55" w:rsidP="00080F5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0F55">
              <w:rPr>
                <w:rFonts w:asciiTheme="majorHAnsi" w:hAnsiTheme="majorHAnsi"/>
                <w:sz w:val="20"/>
                <w:szCs w:val="20"/>
                <w:lang w:val="pt-BR"/>
              </w:rPr>
              <w:t>Apreciação ampliada da minuta do projeto piloto de Núcleo de Práticas em ATHIS, o Conselheiro Lucas Lima Leonel Fonseca pediu a convocação da Gerente de Planejamento e do Gerente Geral para elucidação do tema tratado durante reunião da ALMG.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CB6474" w14:textId="7725CD1C" w:rsidR="00511D60" w:rsidRDefault="00174DDB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Gerente d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Planejamento </w:t>
            </w:r>
            <w:r w:rsidR="003B6DD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relatou 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que no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final de 2022 participou de uma reunião da ALMG (Assembleia Legislativa de Minas Gerais) para discussão participativa do PPAG (Plano Plurianual de Ação Governamental)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informou ainda que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participou de um grupo</w:t>
            </w:r>
            <w:r w:rsidR="00501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com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aproximadamente 20 membros de diversos </w:t>
            </w:r>
            <w:r w:rsidR="00501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órgãos, 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elacionado ao desenvolvimento dos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municípios, </w:t>
            </w:r>
            <w:r w:rsidR="00501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organizadores apresentaram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as ações que estavam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previstas no orçamento do estado relac</w:t>
            </w:r>
            <w:r w:rsidR="00501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ionadas a esse tema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501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esse grupo fez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perguntas, 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sanou</w:t>
            </w:r>
            <w:r w:rsidR="00501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dúvidas, 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realizou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comentários e</w:t>
            </w:r>
            <w:r w:rsidR="007F36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0A78C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sugestões.</w:t>
            </w:r>
          </w:p>
          <w:p w14:paraId="468E0AF4" w14:textId="52471EC3" w:rsidR="000A78CD" w:rsidRDefault="000A78CD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6040C823" w14:textId="1421C63A" w:rsidR="008A32AA" w:rsidRDefault="000A78CD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Existiam representantes da SEDESE no evento, 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dentre eles Henrique Carvalho, 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que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demonstrou grande entusiasmo no Projeto Piloto do Núcleo de Práticas da CATHIS e indicou uma verba de 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R$ 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600.000,00 reais para propor esse investimento, seria um valor para a implantação desses escritórios de acordo com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indicação e orientações técnicas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que fosse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 estabelecidas</w:t>
            </w:r>
            <w:r w:rsidR="008A32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na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parceria entre SEDESE e CAU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/MG</w:t>
            </w:r>
            <w:r w:rsidR="009947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5334BACD" w14:textId="77777777" w:rsidR="00A354F0" w:rsidRDefault="00A354F0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28EF3E9D" w14:textId="7132BDEA" w:rsidR="00A354F0" w:rsidRDefault="00A354F0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Após essa reunião, houve uma audiência pública na qual a Gerente de Planejam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ento foi relatora das propostas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deu ênfase nesse projeto em parceria do CAU/MG e SEDESE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mas infelizmente a Lei orçamentária 2023 foi aprovada sem a inclusão desse projeto do Núcleo de Práticas. Mas a Gerente relatou que haverá uma nova reunião, provavelmente no segundo semestre de 2023, que o CAU poderá ser convidado e tentará incluir o tema 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novamente</w:t>
            </w:r>
            <w:r w:rsidR="00B62AE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já que o convênio firmado com a SEDESE é longo, o que traria margem para novas propostas, além disso a Gerente irá encaminhar uma correspondência eletrônica para a SEDESE afim de retornar as tratativas sobre o assunto.</w:t>
            </w:r>
          </w:p>
          <w:p w14:paraId="42ACB843" w14:textId="77777777" w:rsidR="00B62AE0" w:rsidRDefault="00B62AE0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0BF4463" w14:textId="78700FC1" w:rsidR="00511D60" w:rsidRPr="009D014D" w:rsidRDefault="00B62AE0" w:rsidP="00511D6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Conselheiro Lucas Lima Leonel Fonseca agradeceu o relato</w:t>
            </w:r>
            <w:r w:rsidR="003B680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disse que ele trouxe muitos fatos novos e trata-se de um avanço, além disso relatou também que, no início de 2022,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3B680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eles apresentaram interesse na parceria, mas por ser um ano eleitoral e o projeto não estar totalmente formatado, eles solicitaram apoio pessoal</w:t>
            </w:r>
            <w:r w:rsidR="00854EE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para finalizarem</w:t>
            </w:r>
            <w:r w:rsidR="003B680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então começaram as tratativas com o Bernardo, arquiteto da SEDESE, no qual o projeto evoluiu bastante, mas ficou pe</w:t>
            </w:r>
            <w:r w:rsidR="007814B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ndente na questão de verbas e na visualização de um</w:t>
            </w:r>
            <w:r w:rsidR="003B680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mecanismo de entrada </w:t>
            </w:r>
            <w:r w:rsidR="009D014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nas</w:t>
            </w:r>
            <w:r w:rsidR="003B680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prefeituras</w:t>
            </w:r>
            <w:r w:rsidR="007814B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</w:p>
        </w:tc>
      </w:tr>
      <w:tr w:rsidR="008C6AF6" w:rsidRPr="008C6AF6" w14:paraId="2D459B87" w14:textId="77777777" w:rsidTr="00080F55">
        <w:trPr>
          <w:trHeight w:val="248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72DC9" w:rsidRPr="00551814" w:rsidRDefault="00272DC9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</w:tbl>
    <w:p w14:paraId="5110D8D8" w14:textId="77777777" w:rsidR="00551814" w:rsidRPr="008C6AF6" w:rsidRDefault="00551814" w:rsidP="00551814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551814" w:rsidRPr="00332061" w14:paraId="55DBDB21" w14:textId="77777777" w:rsidTr="0055181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C66AD" w14:textId="77777777" w:rsidR="00551814" w:rsidRPr="008C6AF6" w:rsidRDefault="00551814" w:rsidP="004533D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551814" w:rsidRPr="00332061" w14:paraId="366C0DA9" w14:textId="77777777" w:rsidTr="0055181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E726A7C" w14:textId="1B89B38B" w:rsidR="00551814" w:rsidRPr="00332061" w:rsidRDefault="003A213D" w:rsidP="004533D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04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C71D676" w14:textId="77777777" w:rsidR="009D014D" w:rsidRDefault="009D014D" w:rsidP="009D014D">
      <w:pPr>
        <w:spacing w:line="300" w:lineRule="auto"/>
        <w:ind w:firstLine="720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6A44647B" w:rsidR="0095776C" w:rsidRDefault="008C6AF6" w:rsidP="009D014D">
      <w:pPr>
        <w:spacing w:line="300" w:lineRule="auto"/>
        <w:ind w:firstLine="720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6C26F2D" w14:textId="77777777" w:rsidR="009D014D" w:rsidRPr="008C6AF6" w:rsidRDefault="009D014D" w:rsidP="009D014D">
      <w:pPr>
        <w:spacing w:line="300" w:lineRule="auto"/>
        <w:ind w:firstLine="720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3C7939AE" w:rsidR="0095776C" w:rsidRPr="0095776C" w:rsidRDefault="00E9608F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Daniella Viana Rezende</w:t>
      </w:r>
    </w:p>
    <w:p w14:paraId="2B18E8C5" w14:textId="53B35667" w:rsidR="0095776C" w:rsidRPr="009D014D" w:rsidRDefault="0095776C" w:rsidP="0095776C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9D014D">
        <w:rPr>
          <w:rFonts w:asciiTheme="majorHAnsi" w:hAnsiTheme="majorHAnsi" w:cs="Arial"/>
          <w:sz w:val="18"/>
          <w:szCs w:val="18"/>
          <w:lang w:val="pt-BR" w:eastAsia="pt-BR"/>
        </w:rPr>
        <w:t>Arquitet</w:t>
      </w:r>
      <w:r w:rsidR="00E9608F" w:rsidRPr="009D014D">
        <w:rPr>
          <w:rFonts w:asciiTheme="majorHAnsi" w:hAnsiTheme="majorHAnsi" w:cs="Arial"/>
          <w:sz w:val="18"/>
          <w:szCs w:val="18"/>
          <w:lang w:val="pt-BR" w:eastAsia="pt-BR"/>
        </w:rPr>
        <w:t>a e Urbanista</w:t>
      </w:r>
      <w:r w:rsidRPr="009D014D">
        <w:rPr>
          <w:rFonts w:asciiTheme="majorHAnsi" w:hAnsiTheme="majorHAnsi" w:cs="Arial"/>
          <w:sz w:val="18"/>
          <w:szCs w:val="18"/>
          <w:lang w:val="pt-BR" w:eastAsia="pt-BR"/>
        </w:rPr>
        <w:t xml:space="preserve"> – Assessor</w:t>
      </w:r>
      <w:r w:rsidR="00E9608F" w:rsidRPr="009D014D">
        <w:rPr>
          <w:rFonts w:asciiTheme="majorHAnsi" w:hAnsiTheme="majorHAnsi" w:cs="Arial"/>
          <w:sz w:val="18"/>
          <w:szCs w:val="18"/>
          <w:lang w:val="pt-BR" w:eastAsia="pt-BR"/>
        </w:rPr>
        <w:t>a</w:t>
      </w:r>
      <w:r w:rsidRPr="009D014D">
        <w:rPr>
          <w:rFonts w:asciiTheme="majorHAnsi" w:hAnsiTheme="majorHAnsi" w:cs="Arial"/>
          <w:sz w:val="18"/>
          <w:szCs w:val="18"/>
          <w:lang w:val="pt-BR" w:eastAsia="pt-BR"/>
        </w:rPr>
        <w:t xml:space="preserve"> Técnic</w:t>
      </w:r>
      <w:r w:rsidR="00E9608F" w:rsidRPr="009D014D">
        <w:rPr>
          <w:rFonts w:asciiTheme="majorHAnsi" w:hAnsiTheme="majorHAnsi" w:cs="Arial"/>
          <w:sz w:val="18"/>
          <w:szCs w:val="18"/>
          <w:lang w:val="pt-BR" w:eastAsia="pt-BR"/>
        </w:rPr>
        <w:t>a</w:t>
      </w:r>
    </w:p>
    <w:p w14:paraId="533B756F" w14:textId="0D403970" w:rsidR="0095776C" w:rsidRPr="009D014D" w:rsidRDefault="00E9608F" w:rsidP="00E9608F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9D014D">
        <w:rPr>
          <w:rFonts w:asciiTheme="majorHAnsi" w:hAnsiTheme="majorHAnsi" w:cs="Arial"/>
          <w:sz w:val="18"/>
          <w:szCs w:val="18"/>
          <w:lang w:val="pt-BR" w:eastAsia="pt-BR"/>
        </w:rPr>
        <w:t>Comissão Especial De Assistência Técnica Para Habitação De Interesse Social</w:t>
      </w:r>
    </w:p>
    <w:sectPr w:rsidR="0095776C" w:rsidRPr="009D014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AF5E" w14:textId="77777777" w:rsidR="009E6120" w:rsidRDefault="009E6120">
      <w:r>
        <w:separator/>
      </w:r>
    </w:p>
  </w:endnote>
  <w:endnote w:type="continuationSeparator" w:id="0">
    <w:p w14:paraId="6979C1AE" w14:textId="77777777" w:rsidR="009E6120" w:rsidRDefault="009E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298FD" w14:textId="77777777" w:rsidR="009E6120" w:rsidRDefault="009E6120">
      <w:r>
        <w:separator/>
      </w:r>
    </w:p>
  </w:footnote>
  <w:footnote w:type="continuationSeparator" w:id="0">
    <w:p w14:paraId="717BADA5" w14:textId="77777777" w:rsidR="009E6120" w:rsidRDefault="009E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1E6986"/>
    <w:multiLevelType w:val="hybridMultilevel"/>
    <w:tmpl w:val="FFAE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6DA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40035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5D7FD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0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8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6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14B9"/>
    <w:rsid w:val="000043DC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3333"/>
    <w:rsid w:val="000747FA"/>
    <w:rsid w:val="00074F63"/>
    <w:rsid w:val="00077DC9"/>
    <w:rsid w:val="00080F55"/>
    <w:rsid w:val="00084D7A"/>
    <w:rsid w:val="000A74CB"/>
    <w:rsid w:val="000A78CD"/>
    <w:rsid w:val="000B24B8"/>
    <w:rsid w:val="000C0A5E"/>
    <w:rsid w:val="000D3A2D"/>
    <w:rsid w:val="000D5801"/>
    <w:rsid w:val="000E3837"/>
    <w:rsid w:val="000E60E2"/>
    <w:rsid w:val="000F056F"/>
    <w:rsid w:val="000F1ECC"/>
    <w:rsid w:val="0010605A"/>
    <w:rsid w:val="0010775F"/>
    <w:rsid w:val="001104D7"/>
    <w:rsid w:val="00117E4A"/>
    <w:rsid w:val="001318DD"/>
    <w:rsid w:val="00131ADC"/>
    <w:rsid w:val="00144FD0"/>
    <w:rsid w:val="00146390"/>
    <w:rsid w:val="001533CF"/>
    <w:rsid w:val="001616AA"/>
    <w:rsid w:val="001618BE"/>
    <w:rsid w:val="00174DDB"/>
    <w:rsid w:val="0017578F"/>
    <w:rsid w:val="0017674A"/>
    <w:rsid w:val="00187C96"/>
    <w:rsid w:val="00192F7D"/>
    <w:rsid w:val="001A4779"/>
    <w:rsid w:val="001B4C81"/>
    <w:rsid w:val="001C5F97"/>
    <w:rsid w:val="001D1B93"/>
    <w:rsid w:val="001E1A24"/>
    <w:rsid w:val="001F5928"/>
    <w:rsid w:val="00204C0D"/>
    <w:rsid w:val="00211752"/>
    <w:rsid w:val="00212507"/>
    <w:rsid w:val="002209A3"/>
    <w:rsid w:val="00231EEB"/>
    <w:rsid w:val="00234A45"/>
    <w:rsid w:val="00260EB0"/>
    <w:rsid w:val="00272DC9"/>
    <w:rsid w:val="00274427"/>
    <w:rsid w:val="0028243E"/>
    <w:rsid w:val="002978BD"/>
    <w:rsid w:val="002A57A5"/>
    <w:rsid w:val="002B548C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63340"/>
    <w:rsid w:val="0037114A"/>
    <w:rsid w:val="003A213D"/>
    <w:rsid w:val="003B6801"/>
    <w:rsid w:val="003B6DD1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57E68"/>
    <w:rsid w:val="00473CA8"/>
    <w:rsid w:val="00475E5D"/>
    <w:rsid w:val="00481423"/>
    <w:rsid w:val="0049267C"/>
    <w:rsid w:val="004A5592"/>
    <w:rsid w:val="004B070F"/>
    <w:rsid w:val="004C4D47"/>
    <w:rsid w:val="004E0921"/>
    <w:rsid w:val="004E5095"/>
    <w:rsid w:val="004F56DB"/>
    <w:rsid w:val="0050136D"/>
    <w:rsid w:val="00511D60"/>
    <w:rsid w:val="005202A3"/>
    <w:rsid w:val="00544B65"/>
    <w:rsid w:val="00551814"/>
    <w:rsid w:val="0055266E"/>
    <w:rsid w:val="005664D1"/>
    <w:rsid w:val="0058395B"/>
    <w:rsid w:val="00594763"/>
    <w:rsid w:val="00597BD5"/>
    <w:rsid w:val="005A1693"/>
    <w:rsid w:val="005A1D65"/>
    <w:rsid w:val="005B6066"/>
    <w:rsid w:val="005D1E4C"/>
    <w:rsid w:val="005D26D2"/>
    <w:rsid w:val="00610DB9"/>
    <w:rsid w:val="0061502B"/>
    <w:rsid w:val="006232E4"/>
    <w:rsid w:val="00627A20"/>
    <w:rsid w:val="00634B33"/>
    <w:rsid w:val="00641FA1"/>
    <w:rsid w:val="00644F17"/>
    <w:rsid w:val="00646371"/>
    <w:rsid w:val="00655AD6"/>
    <w:rsid w:val="0066517D"/>
    <w:rsid w:val="00667F66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6F2A42"/>
    <w:rsid w:val="006F2BB8"/>
    <w:rsid w:val="00720A3D"/>
    <w:rsid w:val="00726421"/>
    <w:rsid w:val="00740BCD"/>
    <w:rsid w:val="00741E9F"/>
    <w:rsid w:val="00744EAA"/>
    <w:rsid w:val="00761C87"/>
    <w:rsid w:val="007703A8"/>
    <w:rsid w:val="007814BD"/>
    <w:rsid w:val="0079491D"/>
    <w:rsid w:val="007958C6"/>
    <w:rsid w:val="007B4560"/>
    <w:rsid w:val="007C3DE9"/>
    <w:rsid w:val="007C5270"/>
    <w:rsid w:val="007E1569"/>
    <w:rsid w:val="007E6A4D"/>
    <w:rsid w:val="007F1BD0"/>
    <w:rsid w:val="007F3664"/>
    <w:rsid w:val="007F6D70"/>
    <w:rsid w:val="008041A0"/>
    <w:rsid w:val="00805D2F"/>
    <w:rsid w:val="008169CE"/>
    <w:rsid w:val="00827AA5"/>
    <w:rsid w:val="00845619"/>
    <w:rsid w:val="00846D3E"/>
    <w:rsid w:val="0084790C"/>
    <w:rsid w:val="00854EE3"/>
    <w:rsid w:val="008724F5"/>
    <w:rsid w:val="008A32AA"/>
    <w:rsid w:val="008A5FD1"/>
    <w:rsid w:val="008B5E0B"/>
    <w:rsid w:val="008B6415"/>
    <w:rsid w:val="008C6AF6"/>
    <w:rsid w:val="008C6FE0"/>
    <w:rsid w:val="008C745C"/>
    <w:rsid w:val="008D6C47"/>
    <w:rsid w:val="00900566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8387E"/>
    <w:rsid w:val="00990A66"/>
    <w:rsid w:val="00994740"/>
    <w:rsid w:val="009A11F8"/>
    <w:rsid w:val="009B3A08"/>
    <w:rsid w:val="009C023E"/>
    <w:rsid w:val="009C1FAC"/>
    <w:rsid w:val="009C2FC9"/>
    <w:rsid w:val="009C4A62"/>
    <w:rsid w:val="009D014D"/>
    <w:rsid w:val="009D0851"/>
    <w:rsid w:val="009D124E"/>
    <w:rsid w:val="009E3F2D"/>
    <w:rsid w:val="009E6120"/>
    <w:rsid w:val="009E789F"/>
    <w:rsid w:val="00A07397"/>
    <w:rsid w:val="00A20F10"/>
    <w:rsid w:val="00A2658E"/>
    <w:rsid w:val="00A27652"/>
    <w:rsid w:val="00A354F0"/>
    <w:rsid w:val="00A71DBF"/>
    <w:rsid w:val="00A72FA3"/>
    <w:rsid w:val="00A760FF"/>
    <w:rsid w:val="00A76D48"/>
    <w:rsid w:val="00A76EBB"/>
    <w:rsid w:val="00AC55C8"/>
    <w:rsid w:val="00AD725D"/>
    <w:rsid w:val="00AE167D"/>
    <w:rsid w:val="00B14066"/>
    <w:rsid w:val="00B26BE0"/>
    <w:rsid w:val="00B30203"/>
    <w:rsid w:val="00B37AF7"/>
    <w:rsid w:val="00B44E9E"/>
    <w:rsid w:val="00B46377"/>
    <w:rsid w:val="00B52DF4"/>
    <w:rsid w:val="00B62AE0"/>
    <w:rsid w:val="00B6509F"/>
    <w:rsid w:val="00B66C82"/>
    <w:rsid w:val="00B71EF7"/>
    <w:rsid w:val="00BB29FA"/>
    <w:rsid w:val="00BB53F0"/>
    <w:rsid w:val="00BB7825"/>
    <w:rsid w:val="00BC5BAF"/>
    <w:rsid w:val="00BF4CE2"/>
    <w:rsid w:val="00C22179"/>
    <w:rsid w:val="00C351BC"/>
    <w:rsid w:val="00C37452"/>
    <w:rsid w:val="00C4435B"/>
    <w:rsid w:val="00C5259B"/>
    <w:rsid w:val="00C634D6"/>
    <w:rsid w:val="00C6352D"/>
    <w:rsid w:val="00C64EC1"/>
    <w:rsid w:val="00C676AC"/>
    <w:rsid w:val="00C7274A"/>
    <w:rsid w:val="00C73715"/>
    <w:rsid w:val="00C91F43"/>
    <w:rsid w:val="00C93CEF"/>
    <w:rsid w:val="00CA19B7"/>
    <w:rsid w:val="00CA5EF6"/>
    <w:rsid w:val="00CB5CAA"/>
    <w:rsid w:val="00CD0629"/>
    <w:rsid w:val="00CF2C23"/>
    <w:rsid w:val="00D07860"/>
    <w:rsid w:val="00D116E3"/>
    <w:rsid w:val="00D1503A"/>
    <w:rsid w:val="00D15B06"/>
    <w:rsid w:val="00D22E01"/>
    <w:rsid w:val="00D449B1"/>
    <w:rsid w:val="00D521B1"/>
    <w:rsid w:val="00D66B18"/>
    <w:rsid w:val="00D71D13"/>
    <w:rsid w:val="00D90689"/>
    <w:rsid w:val="00DA0464"/>
    <w:rsid w:val="00DA410E"/>
    <w:rsid w:val="00DA7171"/>
    <w:rsid w:val="00DC3D44"/>
    <w:rsid w:val="00DE2705"/>
    <w:rsid w:val="00DE447E"/>
    <w:rsid w:val="00DE54D3"/>
    <w:rsid w:val="00DF1989"/>
    <w:rsid w:val="00DF1B96"/>
    <w:rsid w:val="00E03197"/>
    <w:rsid w:val="00E130ED"/>
    <w:rsid w:val="00E203D1"/>
    <w:rsid w:val="00E228DF"/>
    <w:rsid w:val="00E32874"/>
    <w:rsid w:val="00E3377E"/>
    <w:rsid w:val="00E5382F"/>
    <w:rsid w:val="00E80499"/>
    <w:rsid w:val="00E83067"/>
    <w:rsid w:val="00E9608F"/>
    <w:rsid w:val="00E9616C"/>
    <w:rsid w:val="00EB2191"/>
    <w:rsid w:val="00EC722C"/>
    <w:rsid w:val="00F00BA5"/>
    <w:rsid w:val="00F03502"/>
    <w:rsid w:val="00F07535"/>
    <w:rsid w:val="00F11E8A"/>
    <w:rsid w:val="00F17FA6"/>
    <w:rsid w:val="00F430AE"/>
    <w:rsid w:val="00F4383D"/>
    <w:rsid w:val="00F460F0"/>
    <w:rsid w:val="00F64A1C"/>
    <w:rsid w:val="00F7051B"/>
    <w:rsid w:val="00F8363E"/>
    <w:rsid w:val="00FA7D4D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D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16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7CDC-4E2F-49AF-8B8E-1A95DFB7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46</cp:revision>
  <cp:lastPrinted>2017-05-11T17:11:00Z</cp:lastPrinted>
  <dcterms:created xsi:type="dcterms:W3CDTF">2022-12-20T19:02:00Z</dcterms:created>
  <dcterms:modified xsi:type="dcterms:W3CDTF">2023-03-31T13:58:00Z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