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jc w:val="center"/>
        <w:tblBorders>
          <w:insideH w:val="none" w:sz="0" w:space="0" w:color="auto"/>
          <w:insideV w:val="none" w:sz="0" w:space="0" w:color="auto"/>
        </w:tblBorders>
        <w:tblLayout w:type="fixed"/>
        <w:tblLook w:val="04A0" w:firstRow="1" w:lastRow="0" w:firstColumn="1" w:lastColumn="0" w:noHBand="0" w:noVBand="1"/>
      </w:tblPr>
      <w:tblGrid>
        <w:gridCol w:w="10188"/>
      </w:tblGrid>
      <w:tr w:rsidR="00D673DB" w:rsidRPr="00750E36" w14:paraId="49565CAD" w14:textId="77777777" w:rsidTr="009251C0">
        <w:trPr>
          <w:trHeight w:val="672"/>
          <w:jc w:val="center"/>
        </w:trPr>
        <w:tc>
          <w:tcPr>
            <w:tcW w:w="10188" w:type="dxa"/>
            <w:shd w:val="clear" w:color="auto" w:fill="D9D9D9" w:themeFill="background1" w:themeFillShade="D9"/>
            <w:vAlign w:val="center"/>
          </w:tcPr>
          <w:p w14:paraId="6644695A" w14:textId="25FDCDDB" w:rsidR="0053398C" w:rsidRPr="00513883" w:rsidRDefault="00A114E4" w:rsidP="0053398C">
            <w:pPr>
              <w:spacing w:line="276" w:lineRule="auto"/>
              <w:jc w:val="center"/>
              <w:rPr>
                <w:rFonts w:asciiTheme="majorHAnsi" w:hAnsiTheme="majorHAnsi"/>
                <w:b/>
                <w:lang w:val="pt-BR"/>
              </w:rPr>
            </w:pPr>
            <w:r>
              <w:rPr>
                <w:rFonts w:asciiTheme="majorHAnsi" w:hAnsiTheme="majorHAnsi"/>
                <w:b/>
                <w:lang w:val="pt-BR"/>
              </w:rPr>
              <w:t>COMISSÃO DE EXERCÍCIO PROFISSIONAL</w:t>
            </w:r>
          </w:p>
          <w:p w14:paraId="0E50B5AD" w14:textId="0216EB19" w:rsidR="00D673DB" w:rsidRPr="00513883" w:rsidRDefault="00D673DB" w:rsidP="0053398C">
            <w:pPr>
              <w:suppressLineNumbers/>
              <w:jc w:val="center"/>
              <w:rPr>
                <w:rFonts w:asciiTheme="majorHAnsi" w:hAnsiTheme="majorHAnsi" w:cs="Times New Roman"/>
                <w:b/>
                <w:lang w:val="pt-BR"/>
              </w:rPr>
            </w:pPr>
            <w:r w:rsidRPr="00513883">
              <w:rPr>
                <w:rFonts w:asciiTheme="majorHAnsi" w:hAnsiTheme="majorHAnsi" w:cs="Times New Roman"/>
                <w:b/>
                <w:lang w:val="pt-BR"/>
              </w:rPr>
              <w:t xml:space="preserve">DELIBERAÇÃO Nº </w:t>
            </w:r>
            <w:r w:rsidR="00045E51">
              <w:rPr>
                <w:rFonts w:asciiTheme="majorHAnsi" w:hAnsiTheme="majorHAnsi" w:cs="Times New Roman"/>
                <w:b/>
                <w:lang w:val="pt-BR"/>
              </w:rPr>
              <w:t>205</w:t>
            </w:r>
            <w:r w:rsidR="00843CEE">
              <w:rPr>
                <w:rFonts w:asciiTheme="majorHAnsi" w:hAnsiTheme="majorHAnsi" w:cs="Times New Roman"/>
                <w:b/>
                <w:lang w:val="pt-BR"/>
              </w:rPr>
              <w:t>.3</w:t>
            </w:r>
            <w:r w:rsidR="0000345C" w:rsidRPr="0000345C">
              <w:rPr>
                <w:rFonts w:asciiTheme="majorHAnsi" w:hAnsiTheme="majorHAnsi" w:cs="Times New Roman"/>
                <w:b/>
                <w:lang w:val="pt-BR"/>
              </w:rPr>
              <w:t>.</w:t>
            </w:r>
            <w:r w:rsidR="00750E36">
              <w:rPr>
                <w:rFonts w:asciiTheme="majorHAnsi" w:hAnsiTheme="majorHAnsi" w:cs="Times New Roman"/>
                <w:b/>
                <w:lang w:val="pt-BR"/>
              </w:rPr>
              <w:t>4</w:t>
            </w:r>
            <w:r w:rsidR="001F127C" w:rsidRPr="0000345C">
              <w:rPr>
                <w:rFonts w:asciiTheme="majorHAnsi" w:hAnsiTheme="majorHAnsi" w:cs="Times New Roman"/>
                <w:b/>
                <w:lang w:val="pt-BR"/>
              </w:rPr>
              <w:t>/</w:t>
            </w:r>
            <w:r w:rsidR="001F127C">
              <w:rPr>
                <w:rFonts w:asciiTheme="majorHAnsi" w:hAnsiTheme="majorHAnsi" w:cs="Times New Roman"/>
                <w:b/>
                <w:lang w:val="pt-BR"/>
              </w:rPr>
              <w:t>2023</w:t>
            </w:r>
          </w:p>
        </w:tc>
      </w:tr>
    </w:tbl>
    <w:p w14:paraId="4DFB29E4" w14:textId="2CE75419" w:rsidR="002A57A5" w:rsidRPr="00513883" w:rsidRDefault="002A57A5" w:rsidP="00E552B6">
      <w:pPr>
        <w:suppressLineNumbers/>
        <w:spacing w:line="276" w:lineRule="auto"/>
        <w:jc w:val="both"/>
        <w:rPr>
          <w:rFonts w:asciiTheme="majorHAnsi" w:hAnsiTheme="majorHAnsi" w:cs="Times New Roman"/>
          <w:lang w:val="pt-BR"/>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53398C" w:rsidRPr="00513883" w14:paraId="5AF2129E" w14:textId="77777777" w:rsidTr="009251C0">
        <w:trPr>
          <w:trHeight w:val="338"/>
          <w:jc w:val="center"/>
        </w:trPr>
        <w:tc>
          <w:tcPr>
            <w:tcW w:w="1701" w:type="dxa"/>
            <w:shd w:val="clear" w:color="auto" w:fill="D9D9D9" w:themeFill="background1" w:themeFillShade="D9"/>
            <w:vAlign w:val="center"/>
          </w:tcPr>
          <w:p w14:paraId="6551C7CD" w14:textId="77777777" w:rsidR="0053398C" w:rsidRPr="00513883" w:rsidRDefault="0053398C" w:rsidP="000F4FED">
            <w:pPr>
              <w:suppressLineNumbers/>
              <w:jc w:val="both"/>
              <w:rPr>
                <w:rFonts w:asciiTheme="majorHAnsi" w:hAnsiTheme="majorHAnsi" w:cs="Times New Roman"/>
                <w:sz w:val="20"/>
                <w:lang w:val="pt-BR"/>
              </w:rPr>
            </w:pPr>
            <w:r w:rsidRPr="00513883">
              <w:rPr>
                <w:rFonts w:asciiTheme="majorHAnsi" w:hAnsiTheme="majorHAnsi" w:cs="Times New Roman"/>
                <w:caps/>
                <w:sz w:val="20"/>
              </w:rPr>
              <w:t>referÊncias:</w:t>
            </w:r>
          </w:p>
        </w:tc>
        <w:tc>
          <w:tcPr>
            <w:tcW w:w="8487" w:type="dxa"/>
            <w:shd w:val="clear" w:color="auto" w:fill="F2F2F2" w:themeFill="background1" w:themeFillShade="F2"/>
            <w:vAlign w:val="center"/>
          </w:tcPr>
          <w:p w14:paraId="0D6AF2D2" w14:textId="5098D15A" w:rsidR="0053398C" w:rsidRPr="00513883" w:rsidRDefault="00CC25AE" w:rsidP="00045E51">
            <w:pPr>
              <w:suppressLineNumbers/>
              <w:jc w:val="both"/>
              <w:rPr>
                <w:rFonts w:asciiTheme="majorHAnsi" w:hAnsiTheme="majorHAnsi"/>
                <w:lang w:val="pt-BR"/>
              </w:rPr>
            </w:pPr>
            <w:r>
              <w:rPr>
                <w:rFonts w:asciiTheme="majorHAnsi" w:hAnsiTheme="majorHAnsi"/>
                <w:lang w:val="pt-BR"/>
              </w:rPr>
              <w:t xml:space="preserve">Protocolo SICCAU n° </w:t>
            </w:r>
            <w:r w:rsidR="00352AA4" w:rsidRPr="00352AA4">
              <w:rPr>
                <w:rFonts w:asciiTheme="majorHAnsi" w:hAnsiTheme="majorHAnsi"/>
                <w:lang w:val="pt-BR"/>
              </w:rPr>
              <w:t>1732600</w:t>
            </w:r>
            <w:r w:rsidRPr="00CC25AE">
              <w:rPr>
                <w:rFonts w:asciiTheme="majorHAnsi" w:hAnsiTheme="majorHAnsi"/>
                <w:lang w:val="pt-BR"/>
              </w:rPr>
              <w:t>/</w:t>
            </w:r>
            <w:r w:rsidR="000F4FED">
              <w:rPr>
                <w:rFonts w:asciiTheme="majorHAnsi" w:hAnsiTheme="majorHAnsi"/>
                <w:lang w:val="pt-BR"/>
              </w:rPr>
              <w:t>2023</w:t>
            </w:r>
          </w:p>
        </w:tc>
      </w:tr>
      <w:tr w:rsidR="0053398C" w:rsidRPr="00750E36" w14:paraId="53EF9FE9" w14:textId="77777777" w:rsidTr="009251C0">
        <w:trPr>
          <w:trHeight w:val="338"/>
          <w:jc w:val="center"/>
        </w:trPr>
        <w:tc>
          <w:tcPr>
            <w:tcW w:w="1701" w:type="dxa"/>
            <w:shd w:val="clear" w:color="auto" w:fill="D9D9D9" w:themeFill="background1" w:themeFillShade="D9"/>
            <w:vAlign w:val="center"/>
          </w:tcPr>
          <w:p w14:paraId="13C1174F" w14:textId="77777777" w:rsidR="0053398C" w:rsidRPr="00513883" w:rsidRDefault="0053398C" w:rsidP="000F4FED">
            <w:pPr>
              <w:suppressLineNumbers/>
              <w:jc w:val="both"/>
              <w:rPr>
                <w:rFonts w:asciiTheme="majorHAnsi" w:hAnsiTheme="majorHAnsi" w:cs="Times New Roman"/>
                <w:sz w:val="20"/>
                <w:lang w:val="pt-BR"/>
              </w:rPr>
            </w:pPr>
            <w:r w:rsidRPr="00513883">
              <w:rPr>
                <w:rFonts w:asciiTheme="majorHAnsi" w:hAnsiTheme="majorHAnsi" w:cs="Times New Roman"/>
                <w:caps/>
                <w:sz w:val="20"/>
              </w:rPr>
              <w:t>INTERESSADOS:</w:t>
            </w:r>
          </w:p>
        </w:tc>
        <w:tc>
          <w:tcPr>
            <w:tcW w:w="8487" w:type="dxa"/>
            <w:shd w:val="clear" w:color="auto" w:fill="F2F2F2" w:themeFill="background1" w:themeFillShade="F2"/>
            <w:vAlign w:val="center"/>
          </w:tcPr>
          <w:p w14:paraId="71A7F85B" w14:textId="4CF820BA" w:rsidR="0053398C" w:rsidRPr="00513883" w:rsidRDefault="00CC25AE" w:rsidP="0000345C">
            <w:pPr>
              <w:suppressLineNumbers/>
              <w:jc w:val="both"/>
              <w:rPr>
                <w:rFonts w:asciiTheme="majorHAnsi" w:hAnsiTheme="majorHAnsi" w:cs="Times New Roman"/>
                <w:lang w:val="pt-BR"/>
              </w:rPr>
            </w:pPr>
            <w:r>
              <w:rPr>
                <w:rFonts w:asciiTheme="majorHAnsi" w:hAnsiTheme="majorHAnsi"/>
                <w:lang w:val="pt-BR"/>
              </w:rPr>
              <w:t xml:space="preserve">Presidência do </w:t>
            </w:r>
            <w:r w:rsidR="000F4FED">
              <w:rPr>
                <w:rFonts w:asciiTheme="majorHAnsi" w:hAnsiTheme="majorHAnsi"/>
                <w:lang w:val="pt-BR"/>
              </w:rPr>
              <w:t>CAU/MG</w:t>
            </w:r>
            <w:r w:rsidR="00750E36">
              <w:rPr>
                <w:rFonts w:asciiTheme="majorHAnsi" w:hAnsiTheme="majorHAnsi"/>
                <w:lang w:val="pt-BR"/>
              </w:rPr>
              <w:t>; Gerência Técnica e de Fiscalização</w:t>
            </w:r>
          </w:p>
        </w:tc>
      </w:tr>
      <w:tr w:rsidR="0053398C" w:rsidRPr="00750E36" w14:paraId="691FB5AE" w14:textId="77777777" w:rsidTr="009251C0">
        <w:trPr>
          <w:trHeight w:val="574"/>
          <w:jc w:val="center"/>
        </w:trPr>
        <w:tc>
          <w:tcPr>
            <w:tcW w:w="1701" w:type="dxa"/>
            <w:shd w:val="clear" w:color="auto" w:fill="D9D9D9" w:themeFill="background1" w:themeFillShade="D9"/>
            <w:vAlign w:val="center"/>
          </w:tcPr>
          <w:p w14:paraId="2AD69A5E" w14:textId="77777777" w:rsidR="0053398C" w:rsidRPr="00513883" w:rsidRDefault="0053398C" w:rsidP="000F4FED">
            <w:pPr>
              <w:suppressLineNumbers/>
              <w:jc w:val="both"/>
              <w:rPr>
                <w:rFonts w:asciiTheme="majorHAnsi" w:hAnsiTheme="majorHAnsi" w:cs="Times New Roman"/>
                <w:sz w:val="20"/>
                <w:lang w:val="pt-BR"/>
              </w:rPr>
            </w:pPr>
            <w:bookmarkStart w:id="0" w:name="_Hlk65249485"/>
            <w:r w:rsidRPr="00513883">
              <w:rPr>
                <w:rFonts w:asciiTheme="majorHAnsi" w:hAnsiTheme="majorHAnsi" w:cs="Times New Roman"/>
                <w:caps/>
                <w:sz w:val="20"/>
              </w:rPr>
              <w:t>Assunto:</w:t>
            </w:r>
          </w:p>
        </w:tc>
        <w:tc>
          <w:tcPr>
            <w:tcW w:w="8487" w:type="dxa"/>
            <w:shd w:val="clear" w:color="auto" w:fill="F2F2F2" w:themeFill="background1" w:themeFillShade="F2"/>
            <w:vAlign w:val="center"/>
          </w:tcPr>
          <w:p w14:paraId="05ECD122" w14:textId="7FF58997" w:rsidR="0053398C" w:rsidRPr="00513883" w:rsidRDefault="008F1088" w:rsidP="0053398C">
            <w:pPr>
              <w:suppressLineNumbers/>
              <w:jc w:val="both"/>
              <w:rPr>
                <w:rFonts w:asciiTheme="majorHAnsi" w:hAnsiTheme="majorHAnsi" w:cs="Times New Roman"/>
                <w:lang w:val="pt-BR"/>
              </w:rPr>
            </w:pPr>
            <w:r>
              <w:rPr>
                <w:rFonts w:asciiTheme="majorHAnsi" w:hAnsiTheme="majorHAnsi" w:cs="Times New Roman"/>
                <w:b/>
                <w:sz w:val="21"/>
                <w:szCs w:val="21"/>
                <w:lang w:val="pt-BR"/>
              </w:rPr>
              <w:t>P</w:t>
            </w:r>
            <w:r w:rsidRPr="00FE58E4">
              <w:rPr>
                <w:rFonts w:asciiTheme="majorHAnsi" w:hAnsiTheme="majorHAnsi" w:cs="Times New Roman"/>
                <w:b/>
                <w:sz w:val="21"/>
                <w:szCs w:val="21"/>
                <w:lang w:val="pt-BR"/>
              </w:rPr>
              <w:t>ropostas de</w:t>
            </w:r>
            <w:r>
              <w:rPr>
                <w:rFonts w:asciiTheme="majorHAnsi" w:hAnsiTheme="majorHAnsi" w:cs="Times New Roman"/>
                <w:b/>
                <w:sz w:val="21"/>
                <w:szCs w:val="21"/>
                <w:lang w:val="pt-BR"/>
              </w:rPr>
              <w:t xml:space="preserve"> alteração da</w:t>
            </w:r>
            <w:r w:rsidRPr="00FE58E4">
              <w:rPr>
                <w:rFonts w:asciiTheme="majorHAnsi" w:hAnsiTheme="majorHAnsi" w:cs="Times New Roman"/>
                <w:b/>
                <w:sz w:val="21"/>
                <w:szCs w:val="21"/>
                <w:lang w:val="pt-BR"/>
              </w:rPr>
              <w:t xml:space="preserve"> </w:t>
            </w:r>
            <w:r>
              <w:rPr>
                <w:rFonts w:asciiTheme="majorHAnsi" w:hAnsiTheme="majorHAnsi" w:cs="Times New Roman"/>
                <w:b/>
                <w:sz w:val="21"/>
                <w:szCs w:val="21"/>
                <w:lang w:val="pt-BR"/>
              </w:rPr>
              <w:t>Deliberação Plenária DPOMG 0070.6.12/2017, que trata da documentação para comprovação da irregularidade que constitui a infração ao exercício profissional.</w:t>
            </w:r>
          </w:p>
        </w:tc>
      </w:tr>
      <w:bookmarkEnd w:id="0"/>
    </w:tbl>
    <w:p w14:paraId="084217BC" w14:textId="77777777" w:rsidR="0053398C" w:rsidRPr="00513883" w:rsidRDefault="0053398C" w:rsidP="00513883">
      <w:pPr>
        <w:suppressLineNumbers/>
        <w:spacing w:line="276" w:lineRule="auto"/>
        <w:jc w:val="both"/>
        <w:rPr>
          <w:rFonts w:asciiTheme="majorHAnsi" w:hAnsiTheme="majorHAnsi" w:cs="Times New Roman"/>
          <w:lang w:val="pt-BR"/>
        </w:rPr>
      </w:pPr>
    </w:p>
    <w:p w14:paraId="0834AFCE" w14:textId="52C982D9" w:rsidR="008B36A9" w:rsidRPr="00513883" w:rsidRDefault="008B36A9" w:rsidP="00513883">
      <w:pPr>
        <w:suppressLineNumbers/>
        <w:spacing w:line="276" w:lineRule="auto"/>
        <w:jc w:val="both"/>
        <w:rPr>
          <w:rFonts w:asciiTheme="majorHAnsi" w:hAnsiTheme="majorHAnsi" w:cs="Times New Roman"/>
          <w:lang w:val="pt-BR"/>
        </w:rPr>
      </w:pPr>
      <w:r w:rsidRPr="00513883">
        <w:rPr>
          <w:rFonts w:asciiTheme="majorHAnsi" w:hAnsiTheme="majorHAnsi" w:cs="Times New Roman"/>
          <w:lang w:val="pt-BR"/>
        </w:rPr>
        <w:t xml:space="preserve">A </w:t>
      </w:r>
      <w:r w:rsidR="00A114E4">
        <w:rPr>
          <w:rFonts w:asciiTheme="majorHAnsi" w:hAnsiTheme="majorHAnsi" w:cs="Times New Roman"/>
          <w:lang w:val="pt-BR"/>
        </w:rPr>
        <w:t xml:space="preserve">COMISSÃO DE EXERCÍCIO PROFISSIONAL </w:t>
      </w:r>
      <w:r w:rsidRPr="00513883">
        <w:rPr>
          <w:rFonts w:asciiTheme="majorHAnsi" w:hAnsiTheme="majorHAnsi" w:cs="Times New Roman"/>
          <w:lang w:val="pt-BR"/>
        </w:rPr>
        <w:t xml:space="preserve">– </w:t>
      </w:r>
      <w:r w:rsidR="0053398C" w:rsidRPr="00513883">
        <w:rPr>
          <w:rFonts w:asciiTheme="majorHAnsi" w:hAnsiTheme="majorHAnsi" w:cs="Times New Roman"/>
          <w:lang w:val="pt-BR"/>
        </w:rPr>
        <w:t>C</w:t>
      </w:r>
      <w:r w:rsidR="00A114E4">
        <w:rPr>
          <w:rFonts w:asciiTheme="majorHAnsi" w:hAnsiTheme="majorHAnsi" w:cs="Times New Roman"/>
          <w:lang w:val="pt-BR"/>
        </w:rPr>
        <w:t>EP</w:t>
      </w:r>
      <w:r w:rsidRPr="00513883">
        <w:rPr>
          <w:rFonts w:asciiTheme="majorHAnsi" w:hAnsiTheme="majorHAnsi" w:cs="Times New Roman"/>
          <w:lang w:val="pt-BR"/>
        </w:rPr>
        <w:t xml:space="preserve">-CAU/MG, reunida </w:t>
      </w:r>
      <w:r w:rsidR="00D55D3C">
        <w:rPr>
          <w:rFonts w:asciiTheme="majorHAnsi" w:hAnsiTheme="majorHAnsi" w:cs="Times New Roman"/>
          <w:lang w:val="pt-BR"/>
        </w:rPr>
        <w:t>ordinariamente,</w:t>
      </w:r>
      <w:r w:rsidR="00A114E4">
        <w:rPr>
          <w:rFonts w:asciiTheme="majorHAnsi" w:hAnsiTheme="majorHAnsi" w:cs="Times New Roman"/>
          <w:lang w:val="pt-BR"/>
        </w:rPr>
        <w:t xml:space="preserve"> na Sede do CAU/MG, à Avenida Getúlio Vargas, n° 447, Bairr</w:t>
      </w:r>
      <w:r w:rsidR="00843CEE">
        <w:rPr>
          <w:rFonts w:asciiTheme="majorHAnsi" w:hAnsiTheme="majorHAnsi" w:cs="Times New Roman"/>
          <w:lang w:val="pt-BR"/>
        </w:rPr>
        <w:t>o Funcionários, Belo Horizonte/</w:t>
      </w:r>
      <w:r w:rsidR="00A114E4">
        <w:rPr>
          <w:rFonts w:asciiTheme="majorHAnsi" w:hAnsiTheme="majorHAnsi" w:cs="Times New Roman"/>
          <w:lang w:val="pt-BR"/>
        </w:rPr>
        <w:t xml:space="preserve">MG, </w:t>
      </w:r>
      <w:r w:rsidRPr="00513883">
        <w:rPr>
          <w:rFonts w:asciiTheme="majorHAnsi" w:hAnsiTheme="majorHAnsi" w:cs="Times New Roman"/>
          <w:lang w:val="pt-BR"/>
        </w:rPr>
        <w:t xml:space="preserve">no dia </w:t>
      </w:r>
      <w:r w:rsidR="00045E51">
        <w:rPr>
          <w:rFonts w:asciiTheme="majorHAnsi" w:hAnsiTheme="majorHAnsi" w:cs="Times New Roman"/>
          <w:lang w:val="pt-BR"/>
        </w:rPr>
        <w:t>27</w:t>
      </w:r>
      <w:r w:rsidR="00D55D3C">
        <w:rPr>
          <w:rFonts w:asciiTheme="majorHAnsi" w:hAnsiTheme="majorHAnsi" w:cs="Times New Roman"/>
          <w:lang w:val="pt-BR"/>
        </w:rPr>
        <w:t xml:space="preserve"> de </w:t>
      </w:r>
      <w:r w:rsidR="00045E51">
        <w:rPr>
          <w:rFonts w:asciiTheme="majorHAnsi" w:hAnsiTheme="majorHAnsi" w:cs="Times New Roman"/>
          <w:lang w:val="pt-BR"/>
        </w:rPr>
        <w:t>fevereiro</w:t>
      </w:r>
      <w:r w:rsidR="00D55D3C">
        <w:rPr>
          <w:rFonts w:asciiTheme="majorHAnsi" w:hAnsiTheme="majorHAnsi" w:cs="Times New Roman"/>
          <w:lang w:val="pt-BR"/>
        </w:rPr>
        <w:t xml:space="preserve"> de 2023</w:t>
      </w:r>
      <w:r w:rsidR="0053398C" w:rsidRPr="00513883">
        <w:rPr>
          <w:rFonts w:asciiTheme="majorHAnsi" w:hAnsiTheme="majorHAnsi" w:cs="Times New Roman"/>
          <w:lang w:val="pt-BR"/>
        </w:rPr>
        <w:t xml:space="preserve"> no uso das competências normativas e regimentais, </w:t>
      </w:r>
      <w:r w:rsidRPr="00513883">
        <w:rPr>
          <w:rFonts w:asciiTheme="majorHAnsi" w:hAnsiTheme="majorHAnsi" w:cs="Times New Roman"/>
          <w:lang w:val="pt-BR"/>
        </w:rPr>
        <w:t>após análise do assunto em epígrafe, e</w:t>
      </w:r>
    </w:p>
    <w:p w14:paraId="72FB5958" w14:textId="77777777" w:rsidR="003B51DE" w:rsidRPr="00513883" w:rsidRDefault="003B51DE" w:rsidP="00513883">
      <w:pPr>
        <w:suppressLineNumbers/>
        <w:spacing w:line="276" w:lineRule="auto"/>
        <w:jc w:val="both"/>
        <w:rPr>
          <w:rFonts w:asciiTheme="majorHAnsi" w:hAnsiTheme="majorHAnsi" w:cs="Times New Roman"/>
          <w:lang w:val="pt-BR"/>
        </w:rPr>
      </w:pPr>
    </w:p>
    <w:p w14:paraId="721C6DB4" w14:textId="7889E785" w:rsidR="003B51DE" w:rsidRDefault="003B51DE" w:rsidP="00513883">
      <w:pPr>
        <w:suppressLineNumbers/>
        <w:spacing w:line="276" w:lineRule="auto"/>
        <w:jc w:val="both"/>
        <w:rPr>
          <w:rFonts w:asciiTheme="majorHAnsi" w:hAnsiTheme="majorHAnsi" w:cs="Times New Roman"/>
          <w:lang w:val="pt-BR"/>
        </w:rPr>
      </w:pPr>
      <w:r w:rsidRPr="00513883">
        <w:rPr>
          <w:rFonts w:asciiTheme="majorHAnsi" w:hAnsiTheme="majorHAnsi" w:cs="Times New Roman"/>
          <w:lang w:val="pt-BR"/>
        </w:rPr>
        <w:t>Considerando</w:t>
      </w:r>
      <w:r w:rsidR="005B5A2B">
        <w:rPr>
          <w:rFonts w:asciiTheme="majorHAnsi" w:hAnsiTheme="majorHAnsi" w:cs="Times New Roman"/>
          <w:lang w:val="pt-BR"/>
        </w:rPr>
        <w:t xml:space="preserve"> Art. 96</w:t>
      </w:r>
      <w:r w:rsidRPr="00513883">
        <w:rPr>
          <w:rFonts w:asciiTheme="majorHAnsi" w:hAnsiTheme="majorHAnsi" w:cs="Times New Roman"/>
          <w:lang w:val="pt-BR"/>
        </w:rPr>
        <w:t xml:space="preserve"> </w:t>
      </w:r>
      <w:r w:rsidR="005B5A2B">
        <w:rPr>
          <w:rFonts w:asciiTheme="majorHAnsi" w:hAnsiTheme="majorHAnsi" w:cs="Times New Roman"/>
          <w:lang w:val="pt-BR"/>
        </w:rPr>
        <w:t>d</w:t>
      </w:r>
      <w:r w:rsidRPr="00513883">
        <w:rPr>
          <w:rFonts w:asciiTheme="majorHAnsi" w:hAnsiTheme="majorHAnsi" w:cs="Times New Roman"/>
          <w:lang w:val="pt-BR"/>
        </w:rPr>
        <w:t>o Regimento Interno do CAU/MG:</w:t>
      </w:r>
    </w:p>
    <w:p w14:paraId="3DBF6E82" w14:textId="77777777" w:rsidR="00843CEE" w:rsidRPr="00513883" w:rsidRDefault="00843CEE" w:rsidP="00843CEE">
      <w:pPr>
        <w:suppressLineNumbers/>
        <w:spacing w:line="276" w:lineRule="auto"/>
        <w:ind w:left="2835"/>
        <w:jc w:val="both"/>
        <w:rPr>
          <w:rFonts w:asciiTheme="majorHAnsi" w:hAnsiTheme="majorHAnsi" w:cs="Times New Roman"/>
          <w:lang w:val="pt-BR"/>
        </w:rPr>
      </w:pPr>
    </w:p>
    <w:p w14:paraId="79B57255" w14:textId="77777777" w:rsidR="00843CEE" w:rsidRPr="00C41497" w:rsidRDefault="00843CEE" w:rsidP="00843CEE">
      <w:pPr>
        <w:suppressLineNumbers/>
        <w:spacing w:line="276" w:lineRule="auto"/>
        <w:ind w:left="2835"/>
        <w:jc w:val="both"/>
        <w:rPr>
          <w:rFonts w:asciiTheme="majorHAnsi" w:hAnsiTheme="majorHAnsi" w:cs="Times New Roman"/>
          <w:i/>
          <w:iCs/>
          <w:lang w:val="pt-BR"/>
        </w:rPr>
      </w:pPr>
      <w:r w:rsidRPr="00C41497">
        <w:rPr>
          <w:rFonts w:asciiTheme="majorHAnsi" w:hAnsiTheme="majorHAnsi" w:cs="Times New Roman"/>
          <w:i/>
          <w:iCs/>
          <w:lang w:val="pt-BR"/>
        </w:rPr>
        <w:t>Art. 92. Compete às comissões ordinárias e especiais:</w:t>
      </w:r>
    </w:p>
    <w:p w14:paraId="40F01A32" w14:textId="77777777" w:rsidR="00843CEE" w:rsidRPr="00C41497" w:rsidRDefault="00843CEE" w:rsidP="00843CEE">
      <w:pPr>
        <w:suppressLineNumbers/>
        <w:spacing w:line="276" w:lineRule="auto"/>
        <w:ind w:left="2835"/>
        <w:jc w:val="both"/>
        <w:rPr>
          <w:rFonts w:asciiTheme="majorHAnsi" w:hAnsiTheme="majorHAnsi" w:cs="Times New Roman"/>
          <w:i/>
          <w:iCs/>
          <w:lang w:val="pt-BR"/>
        </w:rPr>
      </w:pPr>
      <w:r w:rsidRPr="00C41497">
        <w:rPr>
          <w:rFonts w:asciiTheme="majorHAnsi" w:hAnsiTheme="majorHAnsi" w:cs="Times New Roman"/>
          <w:i/>
          <w:iCs/>
          <w:lang w:val="pt-BR"/>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14:paraId="5629B89E" w14:textId="77777777" w:rsidR="00843CEE" w:rsidRPr="00C41497" w:rsidRDefault="00843CEE" w:rsidP="00843CEE">
      <w:pPr>
        <w:suppressLineNumbers/>
        <w:spacing w:line="276" w:lineRule="auto"/>
        <w:ind w:left="2835"/>
        <w:jc w:val="both"/>
        <w:rPr>
          <w:rFonts w:asciiTheme="majorHAnsi" w:hAnsiTheme="majorHAnsi" w:cs="Times New Roman"/>
          <w:i/>
          <w:iCs/>
          <w:lang w:val="pt-BR"/>
        </w:rPr>
      </w:pPr>
      <w:r w:rsidRPr="00C41497">
        <w:rPr>
          <w:rFonts w:asciiTheme="majorHAnsi" w:hAnsiTheme="majorHAnsi" w:cs="Times New Roman"/>
          <w:i/>
          <w:iCs/>
          <w:lang w:val="pt-BR"/>
        </w:rPr>
        <w:t>(...)</w:t>
      </w:r>
    </w:p>
    <w:p w14:paraId="199C780B" w14:textId="77777777" w:rsidR="00843CEE" w:rsidRPr="00C41497" w:rsidRDefault="00843CEE" w:rsidP="00843CEE">
      <w:pPr>
        <w:suppressLineNumbers/>
        <w:spacing w:line="276" w:lineRule="auto"/>
        <w:ind w:left="2835"/>
        <w:jc w:val="both"/>
        <w:rPr>
          <w:rFonts w:asciiTheme="majorHAnsi" w:hAnsiTheme="majorHAnsi" w:cs="Times New Roman"/>
          <w:i/>
          <w:iCs/>
          <w:lang w:val="pt-BR"/>
        </w:rPr>
      </w:pPr>
      <w:r w:rsidRPr="00C41497">
        <w:rPr>
          <w:rFonts w:asciiTheme="majorHAnsi" w:hAnsiTheme="majorHAnsi" w:cs="Times New Roman"/>
          <w:i/>
          <w:iCs/>
          <w:lang w:val="pt-BR"/>
        </w:rPr>
        <w:t>Art. 96. Para cumprir a finalidade de zelar pela orientação e fiscalização do exercício da Arquitetura e Urbanismo, competirá à Comissão de Exercício Profissional do CAU/MG (CEP-CAU/MG), no âmbito de sua competência:</w:t>
      </w:r>
    </w:p>
    <w:p w14:paraId="22B5EE07" w14:textId="77777777" w:rsidR="00843CEE" w:rsidRPr="00C41497" w:rsidRDefault="00843CEE" w:rsidP="00843CEE">
      <w:pPr>
        <w:suppressLineNumbers/>
        <w:spacing w:line="276" w:lineRule="auto"/>
        <w:ind w:left="2835"/>
        <w:jc w:val="both"/>
        <w:rPr>
          <w:rFonts w:asciiTheme="majorHAnsi" w:hAnsiTheme="majorHAnsi" w:cs="Times New Roman"/>
          <w:i/>
          <w:iCs/>
          <w:lang w:val="pt-BR"/>
        </w:rPr>
      </w:pPr>
      <w:r w:rsidRPr="00C41497">
        <w:rPr>
          <w:rFonts w:asciiTheme="majorHAnsi" w:hAnsiTheme="majorHAnsi" w:cs="Times New Roman"/>
          <w:i/>
          <w:iCs/>
          <w:lang w:val="pt-BR"/>
        </w:rPr>
        <w:t>(...)</w:t>
      </w:r>
    </w:p>
    <w:p w14:paraId="38794694" w14:textId="77777777" w:rsidR="00843CEE" w:rsidRPr="00C41497" w:rsidRDefault="00843CEE" w:rsidP="00843CEE">
      <w:pPr>
        <w:suppressLineNumbers/>
        <w:spacing w:line="276" w:lineRule="auto"/>
        <w:ind w:left="2835"/>
        <w:jc w:val="both"/>
        <w:rPr>
          <w:rFonts w:asciiTheme="majorHAnsi" w:hAnsiTheme="majorHAnsi" w:cs="Times New Roman"/>
          <w:i/>
          <w:iCs/>
          <w:lang w:val="pt-BR"/>
        </w:rPr>
      </w:pPr>
      <w:r w:rsidRPr="00C41497">
        <w:rPr>
          <w:rFonts w:asciiTheme="majorHAnsi" w:hAnsiTheme="majorHAnsi" w:cs="Times New Roman"/>
          <w:i/>
          <w:iCs/>
          <w:lang w:val="pt-BR"/>
        </w:rPr>
        <w:t>VIII - propor, apreciar e deliberar sobre questionamentos a atos já normatizados pelo CAU/BR referentes a:</w:t>
      </w:r>
    </w:p>
    <w:p w14:paraId="1F9572E9" w14:textId="77777777" w:rsidR="00843CEE" w:rsidRPr="00C41497" w:rsidRDefault="00843CEE" w:rsidP="00843CEE">
      <w:pPr>
        <w:suppressLineNumbers/>
        <w:spacing w:line="276" w:lineRule="auto"/>
        <w:ind w:left="2835"/>
        <w:jc w:val="both"/>
        <w:rPr>
          <w:rFonts w:asciiTheme="majorHAnsi" w:hAnsiTheme="majorHAnsi" w:cs="Times New Roman"/>
          <w:i/>
          <w:iCs/>
          <w:lang w:val="pt-BR"/>
        </w:rPr>
      </w:pPr>
      <w:r w:rsidRPr="00C41497">
        <w:rPr>
          <w:rFonts w:asciiTheme="majorHAnsi" w:hAnsiTheme="majorHAnsi" w:cs="Times New Roman"/>
          <w:i/>
          <w:iCs/>
          <w:lang w:val="pt-BR"/>
        </w:rPr>
        <w:t>(...)</w:t>
      </w:r>
    </w:p>
    <w:p w14:paraId="73FF5853" w14:textId="1ABC62B2" w:rsidR="00843CEE" w:rsidRPr="00843CEE" w:rsidRDefault="00843CEE" w:rsidP="00843CEE">
      <w:pPr>
        <w:pStyle w:val="PargrafodaLista"/>
        <w:numPr>
          <w:ilvl w:val="0"/>
          <w:numId w:val="38"/>
        </w:numPr>
        <w:suppressLineNumbers/>
        <w:spacing w:line="276" w:lineRule="auto"/>
        <w:ind w:left="2835" w:firstLine="0"/>
        <w:rPr>
          <w:rFonts w:asciiTheme="majorHAnsi" w:hAnsiTheme="majorHAnsi" w:cs="Times New Roman"/>
          <w:i/>
          <w:iCs/>
          <w:lang w:val="pt-BR"/>
        </w:rPr>
      </w:pPr>
      <w:r w:rsidRPr="00843CEE">
        <w:rPr>
          <w:rFonts w:asciiTheme="majorHAnsi" w:hAnsiTheme="majorHAnsi" w:cs="Times New Roman"/>
          <w:i/>
          <w:iCs/>
          <w:lang w:val="pt-BR"/>
        </w:rPr>
        <w:t>fiscalização;</w:t>
      </w:r>
    </w:p>
    <w:p w14:paraId="3089C9CB" w14:textId="77777777" w:rsidR="00843CEE" w:rsidRDefault="00843CEE" w:rsidP="00843CEE">
      <w:pPr>
        <w:suppressLineNumbers/>
        <w:spacing w:line="276" w:lineRule="auto"/>
        <w:jc w:val="both"/>
        <w:rPr>
          <w:rFonts w:asciiTheme="majorHAnsi" w:hAnsiTheme="majorHAnsi" w:cs="Times New Roman"/>
          <w:lang w:val="pt-BR"/>
        </w:rPr>
      </w:pPr>
    </w:p>
    <w:p w14:paraId="7A204898" w14:textId="2ACB23BE" w:rsidR="00750E36" w:rsidRDefault="00750E36" w:rsidP="008F1088">
      <w:pPr>
        <w:widowControl/>
        <w:suppressLineNumbers/>
        <w:spacing w:line="276" w:lineRule="auto"/>
        <w:jc w:val="both"/>
        <w:rPr>
          <w:rFonts w:asciiTheme="majorHAnsi" w:hAnsiTheme="majorHAnsi" w:cs="Times New Roman"/>
          <w:lang w:val="pt-BR"/>
        </w:rPr>
      </w:pPr>
      <w:r w:rsidRPr="009F59B5">
        <w:rPr>
          <w:rFonts w:asciiTheme="majorHAnsi" w:hAnsiTheme="majorHAnsi" w:cs="Times New Roman"/>
          <w:lang w:val="pt-BR"/>
        </w:rPr>
        <w:t>Considerando a Deliberação Plenária DPOMG 0070.6.12/2017, de 24 de outubro de 2017, que aprovou a fixação dos parâmetros e procedimentos para tramitação e julgamento de processos de fiscalização no â</w:t>
      </w:r>
      <w:r>
        <w:rPr>
          <w:rFonts w:asciiTheme="majorHAnsi" w:hAnsiTheme="majorHAnsi" w:cs="Times New Roman"/>
          <w:lang w:val="pt-BR"/>
        </w:rPr>
        <w:t>mbito do CAU/MG</w:t>
      </w:r>
      <w:r w:rsidR="008F1088">
        <w:rPr>
          <w:rFonts w:asciiTheme="majorHAnsi" w:hAnsiTheme="majorHAnsi" w:cs="Times New Roman"/>
          <w:lang w:val="pt-BR"/>
        </w:rPr>
        <w:t>;</w:t>
      </w:r>
    </w:p>
    <w:p w14:paraId="4E26F7F4" w14:textId="480333DE" w:rsidR="008F1088" w:rsidRDefault="008F1088" w:rsidP="008F1088">
      <w:pPr>
        <w:widowControl/>
        <w:suppressLineNumbers/>
        <w:spacing w:line="276" w:lineRule="auto"/>
        <w:jc w:val="both"/>
        <w:rPr>
          <w:rFonts w:asciiTheme="majorHAnsi" w:hAnsiTheme="majorHAnsi" w:cs="Times New Roman"/>
          <w:lang w:val="pt-BR"/>
        </w:rPr>
      </w:pPr>
    </w:p>
    <w:p w14:paraId="3DE99886" w14:textId="323F42EB" w:rsidR="008F1088" w:rsidRPr="006B1368" w:rsidRDefault="008F1088" w:rsidP="008F1088">
      <w:pPr>
        <w:widowControl/>
        <w:suppressLineNumbers/>
        <w:spacing w:line="276" w:lineRule="auto"/>
        <w:jc w:val="both"/>
        <w:rPr>
          <w:rFonts w:asciiTheme="majorHAnsi" w:hAnsiTheme="majorHAnsi" w:cs="Times New Roman"/>
          <w:i/>
          <w:lang w:val="pt-BR"/>
        </w:rPr>
      </w:pPr>
      <w:r w:rsidRPr="009F59B5">
        <w:rPr>
          <w:rFonts w:asciiTheme="majorHAnsi" w:hAnsiTheme="majorHAnsi" w:cs="Times New Roman"/>
          <w:lang w:val="pt-BR"/>
        </w:rPr>
        <w:t xml:space="preserve">Considerando a Deliberação Plenária DPOMG </w:t>
      </w:r>
      <w:r>
        <w:rPr>
          <w:rFonts w:asciiTheme="majorHAnsi" w:hAnsiTheme="majorHAnsi" w:cs="Times New Roman"/>
          <w:lang w:val="pt-BR"/>
        </w:rPr>
        <w:t xml:space="preserve">125.7.11/2022, de 26 de abril de 2022, que aprova alteração no Art. 18 da </w:t>
      </w:r>
      <w:r w:rsidRPr="009F59B5">
        <w:rPr>
          <w:rFonts w:asciiTheme="majorHAnsi" w:hAnsiTheme="majorHAnsi" w:cs="Times New Roman"/>
          <w:lang w:val="pt-BR"/>
        </w:rPr>
        <w:t>Deliberação Plenária DPOMG 0070.6.12/2017, de 24 de outubro de 2017, que aprovou a fixação dos parâmetros e procedimentos para tramitação e julgamento de processos de fiscalização no â</w:t>
      </w:r>
      <w:r>
        <w:rPr>
          <w:rFonts w:asciiTheme="majorHAnsi" w:hAnsiTheme="majorHAnsi" w:cs="Times New Roman"/>
          <w:lang w:val="pt-BR"/>
        </w:rPr>
        <w:t>mbito do CAU/MG</w:t>
      </w:r>
      <w:r>
        <w:rPr>
          <w:rFonts w:asciiTheme="majorHAnsi" w:hAnsiTheme="majorHAnsi" w:cs="Times New Roman"/>
          <w:lang w:val="pt-BR"/>
        </w:rPr>
        <w:t>, nos termos que menciona;</w:t>
      </w:r>
    </w:p>
    <w:p w14:paraId="438DD905" w14:textId="77777777" w:rsidR="00750E36" w:rsidRDefault="00750E36" w:rsidP="00750E36">
      <w:pPr>
        <w:widowControl/>
        <w:suppressLineNumbers/>
        <w:spacing w:line="276" w:lineRule="auto"/>
        <w:jc w:val="both"/>
        <w:rPr>
          <w:rFonts w:asciiTheme="majorHAnsi" w:hAnsiTheme="majorHAnsi" w:cs="Times New Roman"/>
          <w:lang w:val="pt-BR"/>
        </w:rPr>
      </w:pPr>
    </w:p>
    <w:p w14:paraId="33CB5A93" w14:textId="03C0A4EE" w:rsidR="00750E36" w:rsidRPr="009F59B5" w:rsidRDefault="00750E36" w:rsidP="00750E36">
      <w:pPr>
        <w:widowControl/>
        <w:suppressLineNumbers/>
        <w:spacing w:line="276" w:lineRule="auto"/>
        <w:jc w:val="both"/>
        <w:rPr>
          <w:rFonts w:asciiTheme="majorHAnsi" w:hAnsiTheme="majorHAnsi" w:cs="Times New Roman"/>
          <w:lang w:val="pt-BR"/>
        </w:rPr>
      </w:pPr>
      <w:r w:rsidRPr="009F59B5">
        <w:rPr>
          <w:rFonts w:asciiTheme="majorHAnsi" w:hAnsiTheme="majorHAnsi" w:cs="Times New Roman"/>
          <w:lang w:val="pt-BR"/>
        </w:rPr>
        <w:t>Considerando solicitação do</w:t>
      </w:r>
      <w:r>
        <w:rPr>
          <w:rFonts w:asciiTheme="majorHAnsi" w:hAnsiTheme="majorHAnsi" w:cs="Times New Roman"/>
          <w:lang w:val="pt-BR"/>
        </w:rPr>
        <w:t xml:space="preserve"> Setor de Fiscalização do CAU/MG, nos termos do registrado ao item 3.</w:t>
      </w:r>
      <w:r>
        <w:rPr>
          <w:rFonts w:asciiTheme="majorHAnsi" w:hAnsiTheme="majorHAnsi" w:cs="Times New Roman"/>
          <w:lang w:val="pt-BR"/>
        </w:rPr>
        <w:t>4</w:t>
      </w:r>
      <w:r>
        <w:rPr>
          <w:rFonts w:asciiTheme="majorHAnsi" w:hAnsiTheme="majorHAnsi" w:cs="Times New Roman"/>
          <w:lang w:val="pt-BR"/>
        </w:rPr>
        <w:t xml:space="preserve"> da Súmula n° </w:t>
      </w:r>
      <w:r>
        <w:rPr>
          <w:rFonts w:asciiTheme="majorHAnsi" w:hAnsiTheme="majorHAnsi" w:cs="Times New Roman"/>
          <w:lang w:val="pt-BR"/>
        </w:rPr>
        <w:t>205</w:t>
      </w:r>
      <w:r>
        <w:rPr>
          <w:rFonts w:asciiTheme="majorHAnsi" w:hAnsiTheme="majorHAnsi" w:cs="Times New Roman"/>
          <w:lang w:val="pt-BR"/>
        </w:rPr>
        <w:t>/202</w:t>
      </w:r>
      <w:r>
        <w:rPr>
          <w:rFonts w:asciiTheme="majorHAnsi" w:hAnsiTheme="majorHAnsi" w:cs="Times New Roman"/>
          <w:lang w:val="pt-BR"/>
        </w:rPr>
        <w:t>3</w:t>
      </w:r>
      <w:r>
        <w:rPr>
          <w:rFonts w:asciiTheme="majorHAnsi" w:hAnsiTheme="majorHAnsi" w:cs="Times New Roman"/>
          <w:lang w:val="pt-BR"/>
        </w:rPr>
        <w:t xml:space="preserve"> da Comissão de Exercício Profissional – CEP-CAU/MG, em que esclarece sobre a necessidade de</w:t>
      </w:r>
      <w:r>
        <w:rPr>
          <w:rFonts w:asciiTheme="majorHAnsi" w:hAnsiTheme="majorHAnsi" w:cs="Times New Roman"/>
          <w:lang w:val="pt-BR"/>
        </w:rPr>
        <w:t xml:space="preserve"> se firmar outras alternativas na tentativa da regularização de infrações cometidas por Pessoas Jurídicas, em especial quando estas contarem com arquitetos e urbanistas com registro ativo junto ao CAU em seu quadro societário, fato que abre maiores possibilidades de contato junto ao administrado em notificações por irregularidade relacionadas ao exercício profissional da arquitetura e urbanismo</w:t>
      </w:r>
      <w:r w:rsidR="008F1088">
        <w:rPr>
          <w:rFonts w:asciiTheme="majorHAnsi" w:hAnsiTheme="majorHAnsi" w:cs="Times New Roman"/>
          <w:lang w:val="pt-BR"/>
        </w:rPr>
        <w:t>.</w:t>
      </w:r>
    </w:p>
    <w:p w14:paraId="19DD89F2" w14:textId="77777777" w:rsidR="00843CEE" w:rsidRDefault="00843CEE" w:rsidP="00843CEE">
      <w:pPr>
        <w:rPr>
          <w:rFonts w:asciiTheme="majorHAnsi" w:hAnsiTheme="majorHAnsi" w:cs="Times New Roman"/>
          <w:lang w:val="pt-BR"/>
        </w:rPr>
      </w:pPr>
    </w:p>
    <w:p w14:paraId="0FD73A1C" w14:textId="77777777" w:rsidR="00843CEE" w:rsidRDefault="00843CEE" w:rsidP="00843CEE">
      <w:pPr>
        <w:rPr>
          <w:rFonts w:asciiTheme="majorHAnsi" w:hAnsiTheme="majorHAnsi" w:cs="Times New Roman"/>
          <w:lang w:val="pt-BR"/>
        </w:rPr>
      </w:pPr>
    </w:p>
    <w:p w14:paraId="64B69AAC" w14:textId="77777777" w:rsidR="008F1088" w:rsidRDefault="008F1088" w:rsidP="008F1088">
      <w:pPr>
        <w:widowControl/>
        <w:rPr>
          <w:rFonts w:asciiTheme="majorHAnsi" w:hAnsiTheme="majorHAnsi" w:cs="Times New Roman"/>
          <w:b/>
          <w:bCs/>
          <w:lang w:val="pt-BR"/>
        </w:rPr>
      </w:pPr>
      <w:r w:rsidRPr="008B36A9">
        <w:rPr>
          <w:rFonts w:asciiTheme="majorHAnsi" w:hAnsiTheme="majorHAnsi" w:cs="Times New Roman"/>
          <w:b/>
          <w:bCs/>
          <w:lang w:val="pt-BR"/>
        </w:rPr>
        <w:lastRenderedPageBreak/>
        <w:t>DELIBEROU</w:t>
      </w:r>
    </w:p>
    <w:p w14:paraId="4C58A847" w14:textId="77777777" w:rsidR="008F1088" w:rsidRDefault="008F1088" w:rsidP="008F1088">
      <w:pPr>
        <w:widowControl/>
        <w:rPr>
          <w:rFonts w:asciiTheme="majorHAnsi" w:hAnsiTheme="majorHAnsi" w:cs="Times New Roman"/>
          <w:b/>
          <w:bCs/>
          <w:lang w:val="pt-BR"/>
        </w:rPr>
      </w:pPr>
    </w:p>
    <w:p w14:paraId="4AF9BAA2" w14:textId="3152DD6F" w:rsidR="008F1088" w:rsidRPr="00352AA4" w:rsidRDefault="008F1088" w:rsidP="00352AA4">
      <w:pPr>
        <w:pStyle w:val="PargrafodaLista"/>
        <w:numPr>
          <w:ilvl w:val="0"/>
          <w:numId w:val="37"/>
        </w:numPr>
        <w:suppressAutoHyphens w:val="0"/>
        <w:spacing w:line="276" w:lineRule="auto"/>
        <w:rPr>
          <w:rFonts w:asciiTheme="majorHAnsi" w:hAnsiTheme="majorHAnsi" w:cs="Times New Roman"/>
          <w:lang w:val="pt-BR"/>
        </w:rPr>
      </w:pPr>
      <w:r>
        <w:rPr>
          <w:rFonts w:asciiTheme="majorHAnsi" w:hAnsiTheme="majorHAnsi" w:cs="Times New Roman"/>
          <w:lang w:val="pt-BR"/>
        </w:rPr>
        <w:t>Solicitar ao Plenário do CAU/MG que</w:t>
      </w:r>
      <w:r w:rsidR="00352AA4">
        <w:rPr>
          <w:rFonts w:asciiTheme="majorHAnsi" w:hAnsiTheme="majorHAnsi" w:cs="Times New Roman"/>
          <w:lang w:val="pt-BR"/>
        </w:rPr>
        <w:t xml:space="preserve"> a</w:t>
      </w:r>
      <w:r w:rsidRPr="00352AA4">
        <w:rPr>
          <w:rFonts w:asciiTheme="majorHAnsi" w:hAnsiTheme="majorHAnsi" w:cs="Times New Roman"/>
          <w:lang w:val="pt-BR"/>
        </w:rPr>
        <w:t>prove a alteração do Artigo 18 da Deliberação Plenária DPOMG 0070.6.12,</w:t>
      </w:r>
      <w:r w:rsidRPr="00352AA4">
        <w:rPr>
          <w:rFonts w:asciiTheme="majorHAnsi" w:hAnsiTheme="majorHAnsi" w:cs="Times New Roman"/>
          <w:lang w:val="pt-BR"/>
        </w:rPr>
        <w:t xml:space="preserve"> </w:t>
      </w:r>
      <w:r w:rsidR="00352AA4">
        <w:rPr>
          <w:rFonts w:asciiTheme="majorHAnsi" w:hAnsiTheme="majorHAnsi" w:cs="Times New Roman"/>
          <w:lang w:val="pt-BR"/>
        </w:rPr>
        <w:t xml:space="preserve">já </w:t>
      </w:r>
      <w:r w:rsidRPr="00352AA4">
        <w:rPr>
          <w:rFonts w:asciiTheme="majorHAnsi" w:hAnsiTheme="majorHAnsi" w:cs="Times New Roman"/>
          <w:lang w:val="pt-BR"/>
        </w:rPr>
        <w:t xml:space="preserve">alterado pela </w:t>
      </w:r>
      <w:r w:rsidRPr="00352AA4">
        <w:rPr>
          <w:rFonts w:asciiTheme="majorHAnsi" w:hAnsiTheme="majorHAnsi" w:cs="Times New Roman"/>
          <w:lang w:val="pt-BR"/>
        </w:rPr>
        <w:t>Deliberação Plenária DPOMG 125.7.11/2022</w:t>
      </w:r>
      <w:r w:rsidRPr="00352AA4">
        <w:rPr>
          <w:rFonts w:asciiTheme="majorHAnsi" w:hAnsiTheme="majorHAnsi" w:cs="Times New Roman"/>
          <w:lang w:val="pt-BR"/>
        </w:rPr>
        <w:t>,</w:t>
      </w:r>
      <w:r w:rsidRPr="00352AA4">
        <w:rPr>
          <w:rFonts w:asciiTheme="majorHAnsi" w:hAnsiTheme="majorHAnsi" w:cs="Times New Roman"/>
          <w:lang w:val="pt-BR"/>
        </w:rPr>
        <w:t xml:space="preserve"> de modo que </w:t>
      </w:r>
      <w:r w:rsidR="00476564" w:rsidRPr="00352AA4">
        <w:rPr>
          <w:rFonts w:asciiTheme="majorHAnsi" w:hAnsiTheme="majorHAnsi" w:cs="Times New Roman"/>
          <w:lang w:val="pt-BR"/>
        </w:rPr>
        <w:t xml:space="preserve">seja incorporado o </w:t>
      </w:r>
      <w:r w:rsidR="00476564" w:rsidRPr="00352AA4">
        <w:rPr>
          <w:rFonts w:asciiTheme="majorHAnsi" w:hAnsiTheme="majorHAnsi" w:cs="Times New Roman"/>
          <w:iCs/>
          <w:lang w:val="pt-BR"/>
        </w:rPr>
        <w:t>§</w:t>
      </w:r>
      <w:r w:rsidR="00476564" w:rsidRPr="00352AA4">
        <w:rPr>
          <w:rFonts w:asciiTheme="majorHAnsi" w:hAnsiTheme="majorHAnsi" w:cs="Times New Roman"/>
          <w:iCs/>
          <w:lang w:val="pt-BR"/>
        </w:rPr>
        <w:t>2</w:t>
      </w:r>
      <w:r w:rsidR="00476564" w:rsidRPr="00352AA4">
        <w:rPr>
          <w:rFonts w:asciiTheme="majorHAnsi" w:hAnsiTheme="majorHAnsi" w:cs="Times New Roman"/>
          <w:iCs/>
          <w:lang w:val="pt-BR"/>
        </w:rPr>
        <w:t>º</w:t>
      </w:r>
      <w:r w:rsidR="00476564" w:rsidRPr="00352AA4">
        <w:rPr>
          <w:rFonts w:asciiTheme="majorHAnsi" w:hAnsiTheme="majorHAnsi" w:cs="Times New Roman"/>
          <w:iCs/>
          <w:lang w:val="pt-BR"/>
        </w:rPr>
        <w:t>, que</w:t>
      </w:r>
      <w:r w:rsidR="00476564" w:rsidRPr="00352AA4">
        <w:rPr>
          <w:rFonts w:asciiTheme="majorHAnsi" w:hAnsiTheme="majorHAnsi" w:cs="Times New Roman"/>
          <w:iCs/>
          <w:lang w:val="pt-BR"/>
        </w:rPr>
        <w:t xml:space="preserve"> </w:t>
      </w:r>
      <w:r w:rsidR="00476564" w:rsidRPr="00352AA4">
        <w:rPr>
          <w:rFonts w:asciiTheme="majorHAnsi" w:hAnsiTheme="majorHAnsi" w:cs="Times New Roman"/>
          <w:iCs/>
          <w:lang w:val="pt-BR"/>
        </w:rPr>
        <w:t>deve</w:t>
      </w:r>
      <w:r w:rsidR="00476564" w:rsidRPr="00352AA4">
        <w:rPr>
          <w:rFonts w:asciiTheme="majorHAnsi" w:hAnsiTheme="majorHAnsi" w:cs="Times New Roman"/>
          <w:iCs/>
          <w:lang w:val="pt-BR"/>
        </w:rPr>
        <w:t>rá</w:t>
      </w:r>
      <w:r w:rsidRPr="00352AA4">
        <w:rPr>
          <w:rFonts w:asciiTheme="majorHAnsi" w:hAnsiTheme="majorHAnsi" w:cs="Times New Roman"/>
          <w:lang w:val="pt-BR"/>
        </w:rPr>
        <w:t xml:space="preserve"> vigorar com o seguinte texto:</w:t>
      </w:r>
    </w:p>
    <w:p w14:paraId="6979B6F6" w14:textId="77777777" w:rsidR="008F1088" w:rsidRPr="009D28D5" w:rsidRDefault="008F1088" w:rsidP="008F1088">
      <w:pPr>
        <w:pStyle w:val="PargrafodaLista"/>
        <w:rPr>
          <w:rFonts w:asciiTheme="majorHAnsi" w:hAnsiTheme="majorHAnsi" w:cs="Times New Roman"/>
          <w:lang w:val="pt-BR"/>
        </w:rPr>
      </w:pPr>
    </w:p>
    <w:p w14:paraId="689B7AAB" w14:textId="5C444C65" w:rsidR="00476564" w:rsidRPr="002B6FE9" w:rsidRDefault="00476564" w:rsidP="008F1088">
      <w:pPr>
        <w:pStyle w:val="PargrafodaLista"/>
        <w:spacing w:line="276" w:lineRule="auto"/>
        <w:ind w:left="2160"/>
        <w:rPr>
          <w:rFonts w:asciiTheme="majorHAnsi" w:hAnsiTheme="majorHAnsi" w:cs="Times New Roman"/>
          <w:i/>
          <w:lang w:val="pt-BR"/>
        </w:rPr>
      </w:pPr>
      <w:r w:rsidRPr="002B6FE9">
        <w:rPr>
          <w:rFonts w:asciiTheme="majorHAnsi" w:hAnsiTheme="majorHAnsi" w:cs="Times New Roman"/>
          <w:i/>
          <w:lang w:val="pt-BR"/>
        </w:rPr>
        <w:t>§</w:t>
      </w:r>
      <w:r>
        <w:rPr>
          <w:rFonts w:asciiTheme="majorHAnsi" w:hAnsiTheme="majorHAnsi" w:cs="Times New Roman"/>
          <w:i/>
          <w:lang w:val="pt-BR"/>
        </w:rPr>
        <w:t>2</w:t>
      </w:r>
      <w:r w:rsidRPr="002B6FE9">
        <w:rPr>
          <w:rFonts w:asciiTheme="majorHAnsi" w:hAnsiTheme="majorHAnsi" w:cs="Times New Roman"/>
          <w:i/>
          <w:lang w:val="pt-BR"/>
        </w:rPr>
        <w:t xml:space="preserve">º. </w:t>
      </w:r>
      <w:r>
        <w:rPr>
          <w:rFonts w:asciiTheme="majorHAnsi" w:hAnsiTheme="majorHAnsi" w:cs="Times New Roman"/>
          <w:i/>
          <w:lang w:val="pt-BR"/>
        </w:rPr>
        <w:t xml:space="preserve">O contato por e-mail de que trata o caput deverá ser realizado quando o administrado do processo de fiscalização for </w:t>
      </w:r>
      <w:r w:rsidRPr="002B6FE9">
        <w:rPr>
          <w:rFonts w:asciiTheme="majorHAnsi" w:hAnsiTheme="majorHAnsi" w:cs="Times New Roman"/>
          <w:i/>
          <w:lang w:val="pt-BR"/>
        </w:rPr>
        <w:t>profissional de arquitetura e urbanismo com registro no CAU</w:t>
      </w:r>
      <w:r>
        <w:rPr>
          <w:rFonts w:asciiTheme="majorHAnsi" w:hAnsiTheme="majorHAnsi" w:cs="Times New Roman"/>
          <w:i/>
          <w:lang w:val="pt-BR"/>
        </w:rPr>
        <w:t xml:space="preserve">, ou ainda quando se tratar de pessoa jurídica que tenha, no quadro societário, </w:t>
      </w:r>
      <w:r w:rsidRPr="002B6FE9">
        <w:rPr>
          <w:rFonts w:asciiTheme="majorHAnsi" w:hAnsiTheme="majorHAnsi" w:cs="Times New Roman"/>
          <w:i/>
          <w:lang w:val="pt-BR"/>
        </w:rPr>
        <w:t>profissional de arquitetura e urbanismo com registro no CAU</w:t>
      </w:r>
      <w:r>
        <w:rPr>
          <w:rFonts w:asciiTheme="majorHAnsi" w:hAnsiTheme="majorHAnsi" w:cs="Times New Roman"/>
          <w:i/>
          <w:lang w:val="pt-BR"/>
        </w:rPr>
        <w:t>, situação em que o contato deverá ser feito não apenas por meio do endereço eletrônico da pessoa jurídica, mas também por meio do endereço eletrônico do sócio arquiteto e urbanista</w:t>
      </w:r>
      <w:r w:rsidR="00352AA4">
        <w:rPr>
          <w:rFonts w:asciiTheme="majorHAnsi" w:hAnsiTheme="majorHAnsi" w:cs="Times New Roman"/>
          <w:i/>
          <w:lang w:val="pt-BR"/>
        </w:rPr>
        <w:t xml:space="preserve"> cadastrado em sua página profissional no</w:t>
      </w:r>
      <w:r>
        <w:rPr>
          <w:rFonts w:asciiTheme="majorHAnsi" w:hAnsiTheme="majorHAnsi" w:cs="Times New Roman"/>
          <w:i/>
          <w:lang w:val="pt-BR"/>
        </w:rPr>
        <w:t xml:space="preserve"> SICCAU</w:t>
      </w:r>
      <w:r w:rsidR="00352AA4">
        <w:rPr>
          <w:rFonts w:asciiTheme="majorHAnsi" w:hAnsiTheme="majorHAnsi" w:cs="Times New Roman"/>
          <w:i/>
          <w:lang w:val="pt-BR"/>
        </w:rPr>
        <w:t>.</w:t>
      </w:r>
    </w:p>
    <w:p w14:paraId="270AD525" w14:textId="77777777" w:rsidR="00843CEE" w:rsidRPr="008C59E1" w:rsidRDefault="00843CEE" w:rsidP="00843CEE">
      <w:pPr>
        <w:pStyle w:val="PargrafodaLista"/>
        <w:numPr>
          <w:ilvl w:val="0"/>
          <w:numId w:val="37"/>
        </w:numPr>
        <w:suppressAutoHyphens w:val="0"/>
        <w:spacing w:before="120" w:after="120" w:line="360" w:lineRule="auto"/>
        <w:rPr>
          <w:rFonts w:asciiTheme="majorHAnsi" w:hAnsiTheme="majorHAnsi" w:cs="Arial"/>
          <w:lang w:val="pt-BR"/>
        </w:rPr>
      </w:pPr>
      <w:r w:rsidRPr="008C59E1">
        <w:rPr>
          <w:rFonts w:asciiTheme="majorHAnsi" w:hAnsiTheme="majorHAnsi" w:cs="Arial"/>
          <w:color w:val="000000"/>
          <w:lang w:val="pt-BR"/>
        </w:rPr>
        <w:t xml:space="preserve">Encaminhar a presente Deliberação para a Presidência do CAU/MG, para conhecimento e remessa à Gerência </w:t>
      </w:r>
      <w:r>
        <w:rPr>
          <w:rFonts w:asciiTheme="majorHAnsi" w:hAnsiTheme="majorHAnsi" w:cs="Arial"/>
          <w:color w:val="000000"/>
          <w:lang w:val="pt-BR"/>
        </w:rPr>
        <w:t xml:space="preserve">Técnica e de Fiscalização do </w:t>
      </w:r>
      <w:r w:rsidRPr="008C59E1">
        <w:rPr>
          <w:rFonts w:asciiTheme="majorHAnsi" w:hAnsiTheme="majorHAnsi" w:cs="Arial"/>
          <w:color w:val="000000"/>
          <w:lang w:val="pt-BR"/>
        </w:rPr>
        <w:t xml:space="preserve">CAU/MG, </w:t>
      </w:r>
      <w:r>
        <w:rPr>
          <w:rFonts w:asciiTheme="majorHAnsi" w:hAnsiTheme="majorHAnsi" w:cs="Arial"/>
          <w:color w:val="000000"/>
          <w:lang w:val="pt-BR"/>
        </w:rPr>
        <w:t>para encaminhamentos e providências necessárias.</w:t>
      </w:r>
      <w:r w:rsidRPr="008C59E1">
        <w:rPr>
          <w:rFonts w:asciiTheme="majorHAnsi" w:hAnsiTheme="majorHAnsi" w:cs="Arial"/>
          <w:lang w:val="pt-BR"/>
        </w:rPr>
        <w:t xml:space="preserve"> </w:t>
      </w:r>
    </w:p>
    <w:p w14:paraId="75C8A601" w14:textId="77777777" w:rsidR="0053398C" w:rsidRPr="00513883" w:rsidRDefault="0053398C" w:rsidP="00513883">
      <w:pPr>
        <w:suppressLineNumbers/>
        <w:spacing w:line="276" w:lineRule="auto"/>
        <w:jc w:val="both"/>
        <w:rPr>
          <w:rFonts w:asciiTheme="majorHAnsi" w:hAnsiTheme="majorHAnsi" w:cs="Times New Roman"/>
          <w:b/>
          <w:bCs/>
          <w:lang w:val="pt-BR"/>
        </w:rPr>
      </w:pPr>
    </w:p>
    <w:tbl>
      <w:tblPr>
        <w:tblStyle w:val="Tabelacomgrade"/>
        <w:tblW w:w="0" w:type="auto"/>
        <w:tblLook w:val="04A0" w:firstRow="1" w:lastRow="0" w:firstColumn="1" w:lastColumn="0" w:noHBand="0" w:noVBand="1"/>
      </w:tblPr>
      <w:tblGrid>
        <w:gridCol w:w="5076"/>
        <w:gridCol w:w="1272"/>
        <w:gridCol w:w="1272"/>
        <w:gridCol w:w="1300"/>
        <w:gridCol w:w="1274"/>
      </w:tblGrid>
      <w:tr w:rsidR="00AB4334" w:rsidRPr="00750E36" w14:paraId="24B8EA6D" w14:textId="77777777" w:rsidTr="00AB4334">
        <w:trPr>
          <w:trHeight w:val="416"/>
        </w:trPr>
        <w:tc>
          <w:tcPr>
            <w:tcW w:w="10194" w:type="dxa"/>
            <w:gridSpan w:val="5"/>
            <w:shd w:val="clear" w:color="auto" w:fill="D9D9D9" w:themeFill="background1" w:themeFillShade="D9"/>
            <w:vAlign w:val="center"/>
          </w:tcPr>
          <w:p w14:paraId="4E0ABE4C" w14:textId="347F6421" w:rsidR="00AB4334" w:rsidRPr="0000345C" w:rsidRDefault="007367E5" w:rsidP="00AB4334">
            <w:pPr>
              <w:spacing w:line="276" w:lineRule="auto"/>
              <w:jc w:val="center"/>
              <w:rPr>
                <w:rFonts w:asciiTheme="majorHAnsi" w:hAnsiTheme="majorHAnsi"/>
                <w:b/>
                <w:sz w:val="20"/>
                <w:lang w:val="pt-BR"/>
              </w:rPr>
            </w:pPr>
            <w:r w:rsidRPr="0000345C">
              <w:rPr>
                <w:rFonts w:asciiTheme="majorHAnsi" w:hAnsiTheme="majorHAnsi"/>
                <w:b/>
                <w:sz w:val="20"/>
                <w:lang w:val="pt-BR"/>
              </w:rPr>
              <w:t>COMISSÃO DE EXERCÍCIO PROFISSIONAL</w:t>
            </w:r>
          </w:p>
          <w:p w14:paraId="0FD620E7" w14:textId="015673F9" w:rsidR="00AB4334" w:rsidRPr="0000345C" w:rsidRDefault="00AB4334" w:rsidP="00AB4334">
            <w:pPr>
              <w:spacing w:line="276" w:lineRule="auto"/>
              <w:jc w:val="center"/>
              <w:rPr>
                <w:rFonts w:asciiTheme="majorHAnsi" w:hAnsiTheme="majorHAnsi"/>
                <w:b/>
                <w:sz w:val="20"/>
                <w:lang w:val="pt-BR"/>
              </w:rPr>
            </w:pPr>
            <w:r w:rsidRPr="0000345C">
              <w:rPr>
                <w:rFonts w:asciiTheme="majorHAnsi" w:hAnsiTheme="majorHAnsi"/>
                <w:b/>
                <w:sz w:val="20"/>
                <w:lang w:val="pt-BR"/>
              </w:rPr>
              <w:t>VOTAÇÃO</w:t>
            </w:r>
          </w:p>
        </w:tc>
      </w:tr>
      <w:tr w:rsidR="00AB4334" w:rsidRPr="0000345C" w14:paraId="75C1D2A7" w14:textId="77777777" w:rsidTr="00AB4334">
        <w:trPr>
          <w:trHeight w:val="337"/>
        </w:trPr>
        <w:tc>
          <w:tcPr>
            <w:tcW w:w="5096" w:type="dxa"/>
            <w:shd w:val="clear" w:color="auto" w:fill="F2F2F2" w:themeFill="background1" w:themeFillShade="F2"/>
            <w:vAlign w:val="center"/>
          </w:tcPr>
          <w:p w14:paraId="2704DD18" w14:textId="11445678"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CONSELHEIRO ESTADUAL</w:t>
            </w:r>
          </w:p>
        </w:tc>
        <w:tc>
          <w:tcPr>
            <w:tcW w:w="1274" w:type="dxa"/>
            <w:shd w:val="clear" w:color="auto" w:fill="F2F2F2" w:themeFill="background1" w:themeFillShade="F2"/>
            <w:vAlign w:val="center"/>
          </w:tcPr>
          <w:p w14:paraId="00A29C51" w14:textId="3A36855D"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A FAVOR</w:t>
            </w:r>
          </w:p>
        </w:tc>
        <w:tc>
          <w:tcPr>
            <w:tcW w:w="1274" w:type="dxa"/>
            <w:shd w:val="clear" w:color="auto" w:fill="F2F2F2" w:themeFill="background1" w:themeFillShade="F2"/>
            <w:vAlign w:val="center"/>
          </w:tcPr>
          <w:p w14:paraId="7953848C" w14:textId="58A71D2C"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CONTRA</w:t>
            </w:r>
          </w:p>
        </w:tc>
        <w:tc>
          <w:tcPr>
            <w:tcW w:w="1275" w:type="dxa"/>
            <w:shd w:val="clear" w:color="auto" w:fill="F2F2F2" w:themeFill="background1" w:themeFillShade="F2"/>
            <w:vAlign w:val="center"/>
          </w:tcPr>
          <w:p w14:paraId="1410E6C0" w14:textId="7D2E1847"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ABSTENÇÃO</w:t>
            </w:r>
          </w:p>
        </w:tc>
        <w:tc>
          <w:tcPr>
            <w:tcW w:w="1275" w:type="dxa"/>
            <w:shd w:val="clear" w:color="auto" w:fill="F2F2F2" w:themeFill="background1" w:themeFillShade="F2"/>
            <w:vAlign w:val="center"/>
          </w:tcPr>
          <w:p w14:paraId="67710460" w14:textId="2435094B"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AUSÊNCIA</w:t>
            </w:r>
          </w:p>
        </w:tc>
      </w:tr>
      <w:tr w:rsidR="00AB4334" w:rsidRPr="0000345C" w14:paraId="4DBBD1D1" w14:textId="77777777" w:rsidTr="000F4FED">
        <w:trPr>
          <w:trHeight w:val="337"/>
        </w:trPr>
        <w:tc>
          <w:tcPr>
            <w:tcW w:w="5096" w:type="dxa"/>
            <w:vAlign w:val="center"/>
          </w:tcPr>
          <w:p w14:paraId="74D2B925" w14:textId="13765812" w:rsidR="00AB4334" w:rsidRPr="0000345C" w:rsidRDefault="00A114E4" w:rsidP="00513883">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Ademir Nogueira De </w:t>
            </w:r>
            <w:proofErr w:type="gramStart"/>
            <w:r w:rsidRPr="0000345C">
              <w:rPr>
                <w:rFonts w:asciiTheme="majorHAnsi" w:hAnsiTheme="majorHAnsi"/>
                <w:sz w:val="20"/>
                <w:szCs w:val="20"/>
                <w:lang w:val="pt-BR"/>
              </w:rPr>
              <w:t>Ávila</w:t>
            </w:r>
            <w:r w:rsidRPr="00750E36">
              <w:rPr>
                <w:rFonts w:ascii="Calibri" w:hAnsi="Calibri"/>
                <w:color w:val="000000"/>
                <w:sz w:val="20"/>
                <w:shd w:val="clear" w:color="auto" w:fill="FFFFFF"/>
                <w:lang w:val="pt-BR"/>
              </w:rPr>
              <w:t> </w:t>
            </w:r>
            <w:r w:rsidRPr="0000345C">
              <w:rPr>
                <w:rFonts w:asciiTheme="majorHAnsi" w:hAnsiTheme="majorHAnsi"/>
                <w:sz w:val="20"/>
                <w:szCs w:val="20"/>
                <w:lang w:val="pt-BR"/>
              </w:rPr>
              <w:t xml:space="preserve"> </w:t>
            </w:r>
            <w:r w:rsidR="00AB4334" w:rsidRPr="0000345C">
              <w:rPr>
                <w:rFonts w:asciiTheme="majorHAnsi" w:hAnsiTheme="majorHAnsi"/>
                <w:sz w:val="20"/>
                <w:szCs w:val="20"/>
                <w:lang w:val="pt-BR"/>
              </w:rPr>
              <w:t>–</w:t>
            </w:r>
            <w:proofErr w:type="gramEnd"/>
            <w:r w:rsidR="00AB4334" w:rsidRPr="0000345C">
              <w:rPr>
                <w:rFonts w:asciiTheme="majorHAnsi" w:hAnsiTheme="majorHAnsi"/>
                <w:sz w:val="20"/>
                <w:szCs w:val="20"/>
                <w:lang w:val="pt-BR"/>
              </w:rPr>
              <w:t xml:space="preserve"> </w:t>
            </w:r>
            <w:r w:rsidR="00AB4334" w:rsidRPr="0000345C">
              <w:rPr>
                <w:rFonts w:asciiTheme="majorHAnsi" w:eastAsia="Calibri" w:hAnsiTheme="majorHAnsi" w:cs="Times New Roman"/>
                <w:i/>
                <w:sz w:val="20"/>
                <w:szCs w:val="20"/>
                <w:lang w:val="pt-BR"/>
              </w:rPr>
              <w:t>Coordenador</w:t>
            </w:r>
          </w:p>
        </w:tc>
        <w:tc>
          <w:tcPr>
            <w:tcW w:w="1274" w:type="dxa"/>
            <w:vAlign w:val="center"/>
          </w:tcPr>
          <w:p w14:paraId="5315A73E" w14:textId="07DDE11A" w:rsidR="00AB4334" w:rsidRPr="0000345C" w:rsidRDefault="00A114E4" w:rsidP="00A114E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x</w:t>
            </w:r>
          </w:p>
        </w:tc>
        <w:tc>
          <w:tcPr>
            <w:tcW w:w="1274" w:type="dxa"/>
            <w:vAlign w:val="center"/>
          </w:tcPr>
          <w:p w14:paraId="00BDD775" w14:textId="77777777" w:rsidR="00AB4334" w:rsidRPr="0000345C" w:rsidRDefault="00AB4334" w:rsidP="00513883">
            <w:pPr>
              <w:suppressAutoHyphens w:val="0"/>
              <w:spacing w:line="276" w:lineRule="auto"/>
              <w:rPr>
                <w:rFonts w:asciiTheme="majorHAnsi" w:hAnsiTheme="majorHAnsi"/>
                <w:sz w:val="20"/>
                <w:szCs w:val="20"/>
                <w:lang w:val="pt-BR"/>
              </w:rPr>
            </w:pPr>
          </w:p>
        </w:tc>
        <w:tc>
          <w:tcPr>
            <w:tcW w:w="1275" w:type="dxa"/>
            <w:vAlign w:val="center"/>
          </w:tcPr>
          <w:p w14:paraId="0DFF667E" w14:textId="77777777" w:rsidR="00AB4334" w:rsidRPr="0000345C" w:rsidRDefault="00AB4334" w:rsidP="00513883">
            <w:pPr>
              <w:suppressAutoHyphens w:val="0"/>
              <w:spacing w:line="276" w:lineRule="auto"/>
              <w:rPr>
                <w:rFonts w:asciiTheme="majorHAnsi" w:hAnsiTheme="majorHAnsi"/>
                <w:sz w:val="20"/>
                <w:szCs w:val="20"/>
                <w:lang w:val="pt-BR"/>
              </w:rPr>
            </w:pPr>
          </w:p>
        </w:tc>
        <w:tc>
          <w:tcPr>
            <w:tcW w:w="1275" w:type="dxa"/>
            <w:vAlign w:val="center"/>
          </w:tcPr>
          <w:p w14:paraId="1A0BB217" w14:textId="77777777" w:rsidR="00AB4334" w:rsidRPr="0000345C" w:rsidRDefault="00AB4334" w:rsidP="00513883">
            <w:pPr>
              <w:suppressAutoHyphens w:val="0"/>
              <w:spacing w:line="276" w:lineRule="auto"/>
              <w:rPr>
                <w:rFonts w:asciiTheme="majorHAnsi" w:hAnsiTheme="majorHAnsi"/>
                <w:sz w:val="20"/>
                <w:szCs w:val="20"/>
                <w:lang w:val="pt-BR"/>
              </w:rPr>
            </w:pPr>
          </w:p>
        </w:tc>
      </w:tr>
      <w:tr w:rsidR="00C70894" w:rsidRPr="0000345C" w14:paraId="4D76C7AE" w14:textId="77777777" w:rsidTr="000F4FED">
        <w:trPr>
          <w:trHeight w:val="337"/>
        </w:trPr>
        <w:tc>
          <w:tcPr>
            <w:tcW w:w="5096" w:type="dxa"/>
            <w:vAlign w:val="center"/>
          </w:tcPr>
          <w:p w14:paraId="6B312ED0" w14:textId="244F0572" w:rsidR="00C70894" w:rsidRPr="0000345C" w:rsidRDefault="00A114E4" w:rsidP="00C70894">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Lucas Lima Leonel Fonseca – </w:t>
            </w:r>
            <w:r w:rsidR="00C70894" w:rsidRPr="0000345C">
              <w:rPr>
                <w:rFonts w:asciiTheme="majorHAnsi" w:eastAsia="Calibri" w:hAnsiTheme="majorHAnsi" w:cs="Times New Roman"/>
                <w:i/>
                <w:sz w:val="20"/>
                <w:szCs w:val="20"/>
                <w:lang w:val="pt-BR"/>
              </w:rPr>
              <w:t>Coord. Adjunto</w:t>
            </w:r>
          </w:p>
        </w:tc>
        <w:tc>
          <w:tcPr>
            <w:tcW w:w="1274" w:type="dxa"/>
            <w:vAlign w:val="center"/>
          </w:tcPr>
          <w:p w14:paraId="58DDDE77" w14:textId="0690B817" w:rsidR="00C70894" w:rsidRPr="0000345C" w:rsidRDefault="00A114E4" w:rsidP="00A114E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x</w:t>
            </w:r>
          </w:p>
        </w:tc>
        <w:tc>
          <w:tcPr>
            <w:tcW w:w="1274" w:type="dxa"/>
            <w:vAlign w:val="center"/>
          </w:tcPr>
          <w:p w14:paraId="52AC73A4"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3CDD3072"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0C986567" w14:textId="77777777" w:rsidR="00C70894" w:rsidRPr="0000345C" w:rsidRDefault="00C70894" w:rsidP="00C70894">
            <w:pPr>
              <w:suppressAutoHyphens w:val="0"/>
              <w:spacing w:line="276" w:lineRule="auto"/>
              <w:rPr>
                <w:rFonts w:asciiTheme="majorHAnsi" w:hAnsiTheme="majorHAnsi"/>
                <w:sz w:val="20"/>
                <w:szCs w:val="20"/>
                <w:lang w:val="pt-BR"/>
              </w:rPr>
            </w:pPr>
          </w:p>
        </w:tc>
      </w:tr>
      <w:tr w:rsidR="00C70894" w:rsidRPr="0000345C" w14:paraId="3D9A71DF" w14:textId="77777777" w:rsidTr="000F4FED">
        <w:trPr>
          <w:trHeight w:val="337"/>
        </w:trPr>
        <w:tc>
          <w:tcPr>
            <w:tcW w:w="5096" w:type="dxa"/>
            <w:vAlign w:val="center"/>
          </w:tcPr>
          <w:p w14:paraId="5C4F4E82" w14:textId="5B7DABC3" w:rsidR="00C70894" w:rsidRPr="0000345C" w:rsidRDefault="00A114E4" w:rsidP="00C70894">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Felipe </w:t>
            </w:r>
            <w:proofErr w:type="spellStart"/>
            <w:r w:rsidRPr="0000345C">
              <w:rPr>
                <w:rFonts w:asciiTheme="majorHAnsi" w:hAnsiTheme="majorHAnsi"/>
                <w:sz w:val="20"/>
                <w:szCs w:val="20"/>
                <w:lang w:val="pt-BR"/>
              </w:rPr>
              <w:t>Colmanetti</w:t>
            </w:r>
            <w:proofErr w:type="spellEnd"/>
            <w:r w:rsidRPr="0000345C">
              <w:rPr>
                <w:rFonts w:asciiTheme="majorHAnsi" w:hAnsiTheme="majorHAnsi"/>
                <w:sz w:val="20"/>
                <w:szCs w:val="20"/>
                <w:lang w:val="pt-BR"/>
              </w:rPr>
              <w:t xml:space="preserve"> Moura </w:t>
            </w:r>
            <w:r w:rsidR="00C70894"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Titular</w:t>
            </w:r>
          </w:p>
        </w:tc>
        <w:tc>
          <w:tcPr>
            <w:tcW w:w="1274" w:type="dxa"/>
            <w:vAlign w:val="center"/>
          </w:tcPr>
          <w:p w14:paraId="6983B242" w14:textId="205F2608" w:rsidR="00C70894" w:rsidRPr="0000345C" w:rsidRDefault="00A114E4" w:rsidP="00A114E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x</w:t>
            </w:r>
          </w:p>
        </w:tc>
        <w:tc>
          <w:tcPr>
            <w:tcW w:w="1274" w:type="dxa"/>
            <w:vAlign w:val="center"/>
          </w:tcPr>
          <w:p w14:paraId="7C5A706E"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34981FBA"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4B05EE79" w14:textId="77777777" w:rsidR="00C70894" w:rsidRPr="0000345C" w:rsidRDefault="00C70894" w:rsidP="00C70894">
            <w:pPr>
              <w:suppressAutoHyphens w:val="0"/>
              <w:spacing w:line="276" w:lineRule="auto"/>
              <w:rPr>
                <w:rFonts w:asciiTheme="majorHAnsi" w:hAnsiTheme="majorHAnsi"/>
                <w:sz w:val="20"/>
                <w:szCs w:val="20"/>
                <w:lang w:val="pt-BR"/>
              </w:rPr>
            </w:pPr>
          </w:p>
        </w:tc>
      </w:tr>
      <w:tr w:rsidR="00A114E4" w:rsidRPr="0000345C" w14:paraId="1B5D2747" w14:textId="77777777" w:rsidTr="000F4FED">
        <w:trPr>
          <w:trHeight w:val="337"/>
        </w:trPr>
        <w:tc>
          <w:tcPr>
            <w:tcW w:w="5096" w:type="dxa"/>
            <w:vAlign w:val="center"/>
          </w:tcPr>
          <w:p w14:paraId="7EF91B3F" w14:textId="596D6AD8" w:rsidR="00A114E4" w:rsidRPr="0000345C" w:rsidRDefault="00A114E4" w:rsidP="00C70894">
            <w:pPr>
              <w:suppressAutoHyphens w:val="0"/>
              <w:spacing w:line="276" w:lineRule="auto"/>
              <w:rPr>
                <w:rFonts w:asciiTheme="majorHAnsi" w:hAnsiTheme="majorHAnsi"/>
                <w:sz w:val="20"/>
                <w:szCs w:val="20"/>
                <w:lang w:val="pt-BR"/>
              </w:rPr>
            </w:pPr>
            <w:r w:rsidRPr="0000345C">
              <w:rPr>
                <w:rFonts w:asciiTheme="majorHAnsi" w:hAnsiTheme="majorHAnsi"/>
                <w:bCs/>
                <w:sz w:val="20"/>
                <w:szCs w:val="20"/>
                <w:lang w:val="pt-BR"/>
              </w:rPr>
              <w:t xml:space="preserve">Joao Henrique Dutra Grillo </w:t>
            </w:r>
            <w:r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Titular</w:t>
            </w:r>
          </w:p>
        </w:tc>
        <w:tc>
          <w:tcPr>
            <w:tcW w:w="1274" w:type="dxa"/>
            <w:vAlign w:val="center"/>
          </w:tcPr>
          <w:p w14:paraId="35973AC5" w14:textId="77777777" w:rsidR="00A114E4" w:rsidRPr="0000345C" w:rsidRDefault="00A114E4" w:rsidP="00A114E4">
            <w:pPr>
              <w:suppressAutoHyphens w:val="0"/>
              <w:spacing w:line="276" w:lineRule="auto"/>
              <w:jc w:val="center"/>
              <w:rPr>
                <w:rFonts w:asciiTheme="majorHAnsi" w:hAnsiTheme="majorHAnsi"/>
                <w:sz w:val="20"/>
                <w:szCs w:val="20"/>
                <w:lang w:val="pt-BR"/>
              </w:rPr>
            </w:pPr>
          </w:p>
        </w:tc>
        <w:tc>
          <w:tcPr>
            <w:tcW w:w="1274" w:type="dxa"/>
            <w:vAlign w:val="center"/>
          </w:tcPr>
          <w:p w14:paraId="05B66D37"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42887BB2"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08FE35A8" w14:textId="7460B23D" w:rsidR="00A114E4" w:rsidRPr="0000345C" w:rsidRDefault="00837F1C" w:rsidP="00837F1C">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x</w:t>
            </w:r>
          </w:p>
        </w:tc>
      </w:tr>
      <w:tr w:rsidR="00C70894" w:rsidRPr="0000345C" w14:paraId="42B8D1C3" w14:textId="77777777" w:rsidTr="000F4FED">
        <w:trPr>
          <w:trHeight w:val="337"/>
        </w:trPr>
        <w:tc>
          <w:tcPr>
            <w:tcW w:w="5096" w:type="dxa"/>
            <w:vAlign w:val="center"/>
          </w:tcPr>
          <w:p w14:paraId="5555219D" w14:textId="2FE40781" w:rsidR="00C70894" w:rsidRPr="0000345C" w:rsidRDefault="00A114E4" w:rsidP="00A114E4">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Sérgio </w:t>
            </w:r>
            <w:proofErr w:type="spellStart"/>
            <w:r w:rsidRPr="0000345C">
              <w:rPr>
                <w:rFonts w:asciiTheme="majorHAnsi" w:hAnsiTheme="majorHAnsi"/>
                <w:sz w:val="20"/>
                <w:szCs w:val="20"/>
                <w:lang w:val="pt-BR"/>
              </w:rPr>
              <w:t>Myssior</w:t>
            </w:r>
            <w:proofErr w:type="spellEnd"/>
            <w:r w:rsidR="00C70894" w:rsidRPr="0000345C">
              <w:rPr>
                <w:rFonts w:asciiTheme="majorHAnsi" w:hAnsiTheme="majorHAnsi"/>
                <w:sz w:val="20"/>
                <w:szCs w:val="20"/>
                <w:lang w:val="pt-BR"/>
              </w:rPr>
              <w:t xml:space="preserve"> – </w:t>
            </w:r>
            <w:r w:rsidRPr="0000345C">
              <w:rPr>
                <w:rFonts w:asciiTheme="majorHAnsi" w:eastAsia="Calibri" w:hAnsiTheme="majorHAnsi" w:cs="Times New Roman"/>
                <w:i/>
                <w:sz w:val="20"/>
                <w:szCs w:val="20"/>
                <w:lang w:val="pt-BR"/>
              </w:rPr>
              <w:t xml:space="preserve">Membro </w:t>
            </w:r>
            <w:r w:rsidR="00C70894" w:rsidRPr="0000345C">
              <w:rPr>
                <w:rFonts w:asciiTheme="majorHAnsi" w:eastAsia="Calibri" w:hAnsiTheme="majorHAnsi" w:cs="Times New Roman"/>
                <w:i/>
                <w:sz w:val="20"/>
                <w:szCs w:val="20"/>
                <w:lang w:val="pt-BR"/>
              </w:rPr>
              <w:t>Titular</w:t>
            </w:r>
          </w:p>
        </w:tc>
        <w:tc>
          <w:tcPr>
            <w:tcW w:w="1274" w:type="dxa"/>
            <w:vAlign w:val="center"/>
          </w:tcPr>
          <w:p w14:paraId="3DF761C5" w14:textId="3C0B1AE6" w:rsidR="00C70894" w:rsidRPr="0000345C" w:rsidRDefault="00843CEE" w:rsidP="00837F1C">
            <w:pPr>
              <w:suppressAutoHyphens w:val="0"/>
              <w:spacing w:line="276" w:lineRule="auto"/>
              <w:jc w:val="center"/>
              <w:rPr>
                <w:rFonts w:asciiTheme="majorHAnsi" w:hAnsiTheme="majorHAnsi"/>
                <w:sz w:val="20"/>
                <w:szCs w:val="20"/>
                <w:lang w:val="pt-BR"/>
              </w:rPr>
            </w:pPr>
            <w:r>
              <w:rPr>
                <w:rFonts w:asciiTheme="majorHAnsi" w:hAnsiTheme="majorHAnsi"/>
                <w:sz w:val="20"/>
                <w:szCs w:val="20"/>
                <w:lang w:val="pt-BR"/>
              </w:rPr>
              <w:t>x</w:t>
            </w:r>
          </w:p>
        </w:tc>
        <w:tc>
          <w:tcPr>
            <w:tcW w:w="1274" w:type="dxa"/>
            <w:vAlign w:val="center"/>
          </w:tcPr>
          <w:p w14:paraId="566EA552"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6DC92410"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58795B85" w14:textId="659FBC63" w:rsidR="00C70894" w:rsidRPr="0000345C" w:rsidRDefault="00C70894" w:rsidP="007367E5">
            <w:pPr>
              <w:suppressAutoHyphens w:val="0"/>
              <w:spacing w:line="276" w:lineRule="auto"/>
              <w:jc w:val="center"/>
              <w:rPr>
                <w:rFonts w:asciiTheme="majorHAnsi" w:hAnsiTheme="majorHAnsi"/>
                <w:sz w:val="20"/>
                <w:szCs w:val="20"/>
                <w:lang w:val="pt-BR"/>
              </w:rPr>
            </w:pPr>
          </w:p>
        </w:tc>
      </w:tr>
      <w:tr w:rsidR="00A114E4" w:rsidRPr="0000345C" w14:paraId="3ACEBB8E" w14:textId="77777777" w:rsidTr="000F4FED">
        <w:trPr>
          <w:trHeight w:val="337"/>
        </w:trPr>
        <w:tc>
          <w:tcPr>
            <w:tcW w:w="5096" w:type="dxa"/>
            <w:vAlign w:val="center"/>
          </w:tcPr>
          <w:p w14:paraId="0958FCD6" w14:textId="0AEEABF5" w:rsidR="00A114E4" w:rsidRPr="0000345C" w:rsidRDefault="00A114E4" w:rsidP="00A114E4">
            <w:pPr>
              <w:suppressAutoHyphens w:val="0"/>
              <w:spacing w:line="276" w:lineRule="auto"/>
              <w:rPr>
                <w:rFonts w:asciiTheme="majorHAnsi" w:hAnsiTheme="majorHAnsi"/>
                <w:sz w:val="20"/>
                <w:szCs w:val="20"/>
                <w:lang w:val="pt-BR"/>
              </w:rPr>
            </w:pPr>
            <w:r w:rsidRPr="0000345C">
              <w:rPr>
                <w:rFonts w:asciiTheme="majorHAnsi" w:hAnsiTheme="majorHAnsi"/>
                <w:bCs/>
                <w:sz w:val="20"/>
                <w:szCs w:val="20"/>
                <w:lang w:val="pt-BR"/>
              </w:rPr>
              <w:t xml:space="preserve">Adriane de Almeida </w:t>
            </w:r>
            <w:proofErr w:type="spellStart"/>
            <w:r w:rsidRPr="0000345C">
              <w:rPr>
                <w:rFonts w:asciiTheme="majorHAnsi" w:hAnsiTheme="majorHAnsi"/>
                <w:bCs/>
                <w:sz w:val="20"/>
                <w:szCs w:val="20"/>
                <w:lang w:val="pt-BR"/>
              </w:rPr>
              <w:t>Matthes</w:t>
            </w:r>
            <w:proofErr w:type="spellEnd"/>
            <w:r w:rsidRPr="0000345C">
              <w:rPr>
                <w:rFonts w:asciiTheme="majorHAnsi" w:hAnsiTheme="majorHAnsi"/>
                <w:bCs/>
                <w:sz w:val="20"/>
                <w:szCs w:val="20"/>
                <w:lang w:val="pt-BR"/>
              </w:rPr>
              <w:t xml:space="preserve"> </w:t>
            </w:r>
            <w:r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Suplente</w:t>
            </w:r>
          </w:p>
        </w:tc>
        <w:tc>
          <w:tcPr>
            <w:tcW w:w="1274" w:type="dxa"/>
            <w:vAlign w:val="center"/>
          </w:tcPr>
          <w:p w14:paraId="35E84BC0" w14:textId="4DB3CD72" w:rsidR="00A114E4" w:rsidRPr="0000345C" w:rsidRDefault="00837F1C" w:rsidP="00837F1C">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x</w:t>
            </w:r>
          </w:p>
        </w:tc>
        <w:tc>
          <w:tcPr>
            <w:tcW w:w="1274" w:type="dxa"/>
            <w:vAlign w:val="center"/>
          </w:tcPr>
          <w:p w14:paraId="2BAECC75"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6BE677D2"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038FB2E5" w14:textId="77777777" w:rsidR="00A114E4" w:rsidRPr="0000345C" w:rsidRDefault="00A114E4" w:rsidP="00C70894">
            <w:pPr>
              <w:suppressAutoHyphens w:val="0"/>
              <w:spacing w:line="276" w:lineRule="auto"/>
              <w:rPr>
                <w:rFonts w:asciiTheme="majorHAnsi" w:hAnsiTheme="majorHAnsi"/>
                <w:sz w:val="20"/>
                <w:szCs w:val="20"/>
                <w:lang w:val="pt-BR"/>
              </w:rPr>
            </w:pPr>
          </w:p>
        </w:tc>
      </w:tr>
      <w:tr w:rsidR="00C70894" w:rsidRPr="0000345C" w14:paraId="7105A0FA" w14:textId="77777777" w:rsidTr="000F4FED">
        <w:trPr>
          <w:trHeight w:val="337"/>
        </w:trPr>
        <w:tc>
          <w:tcPr>
            <w:tcW w:w="5096" w:type="dxa"/>
            <w:vAlign w:val="center"/>
          </w:tcPr>
          <w:p w14:paraId="53907BC9" w14:textId="7C9F2F9E" w:rsidR="00C70894" w:rsidRPr="0000345C" w:rsidRDefault="00A114E4" w:rsidP="00C70894">
            <w:pPr>
              <w:suppressAutoHyphens w:val="0"/>
              <w:spacing w:line="276" w:lineRule="auto"/>
              <w:rPr>
                <w:rFonts w:asciiTheme="majorHAnsi" w:hAnsiTheme="majorHAnsi"/>
                <w:sz w:val="20"/>
                <w:szCs w:val="20"/>
                <w:lang w:val="pt-BR"/>
              </w:rPr>
            </w:pPr>
            <w:proofErr w:type="spellStart"/>
            <w:r w:rsidRPr="0000345C">
              <w:rPr>
                <w:rFonts w:asciiTheme="majorHAnsi" w:hAnsiTheme="majorHAnsi"/>
                <w:sz w:val="20"/>
                <w:szCs w:val="20"/>
                <w:lang w:val="pt-BR"/>
              </w:rPr>
              <w:t>Sidclei</w:t>
            </w:r>
            <w:proofErr w:type="spellEnd"/>
            <w:r w:rsidRPr="0000345C">
              <w:rPr>
                <w:rFonts w:asciiTheme="majorHAnsi" w:hAnsiTheme="majorHAnsi"/>
                <w:sz w:val="20"/>
                <w:szCs w:val="20"/>
                <w:lang w:val="pt-BR"/>
              </w:rPr>
              <w:t xml:space="preserve"> Barbosa </w:t>
            </w:r>
            <w:r w:rsidR="00C70894"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Suplente</w:t>
            </w:r>
          </w:p>
        </w:tc>
        <w:tc>
          <w:tcPr>
            <w:tcW w:w="1274" w:type="dxa"/>
            <w:vAlign w:val="center"/>
          </w:tcPr>
          <w:p w14:paraId="68E9B3C5" w14:textId="05DD603D" w:rsidR="00C70894" w:rsidRPr="0000345C" w:rsidRDefault="00837F1C" w:rsidP="00837F1C">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x</w:t>
            </w:r>
          </w:p>
        </w:tc>
        <w:tc>
          <w:tcPr>
            <w:tcW w:w="1274" w:type="dxa"/>
            <w:vAlign w:val="center"/>
          </w:tcPr>
          <w:p w14:paraId="68A28007"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3D168939"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249B3324" w14:textId="77777777" w:rsidR="00C70894" w:rsidRPr="0000345C" w:rsidRDefault="00C70894" w:rsidP="00C70894">
            <w:pPr>
              <w:suppressAutoHyphens w:val="0"/>
              <w:spacing w:line="276" w:lineRule="auto"/>
              <w:rPr>
                <w:rFonts w:asciiTheme="majorHAnsi" w:hAnsiTheme="majorHAnsi"/>
                <w:sz w:val="20"/>
                <w:szCs w:val="20"/>
                <w:lang w:val="pt-BR"/>
              </w:rPr>
            </w:pPr>
          </w:p>
        </w:tc>
      </w:tr>
    </w:tbl>
    <w:p w14:paraId="6E2A5BA3" w14:textId="77777777" w:rsidR="00AB4334" w:rsidRPr="007367E5" w:rsidRDefault="00AB4334" w:rsidP="00513883">
      <w:pPr>
        <w:suppressAutoHyphens w:val="0"/>
        <w:spacing w:line="276" w:lineRule="auto"/>
        <w:rPr>
          <w:rFonts w:asciiTheme="majorHAnsi" w:hAnsiTheme="majorHAnsi"/>
          <w:sz w:val="20"/>
          <w:lang w:val="pt-BR"/>
        </w:rPr>
      </w:pPr>
    </w:p>
    <w:p w14:paraId="4010FDC3" w14:textId="66E3FE73" w:rsidR="00D55D3C" w:rsidRPr="00843CEE" w:rsidRDefault="00513883" w:rsidP="00D55D3C">
      <w:pPr>
        <w:spacing w:line="276" w:lineRule="auto"/>
        <w:jc w:val="center"/>
        <w:rPr>
          <w:rFonts w:asciiTheme="majorHAnsi" w:hAnsiTheme="majorHAnsi" w:cs="Arial"/>
          <w:sz w:val="20"/>
          <w:lang w:val="pt-BR" w:eastAsia="pt-BR"/>
        </w:rPr>
      </w:pPr>
      <w:r w:rsidRPr="00843CEE">
        <w:rPr>
          <w:rFonts w:asciiTheme="majorHAnsi" w:hAnsiTheme="majorHAnsi" w:cs="Arial"/>
          <w:iCs/>
          <w:sz w:val="20"/>
          <w:lang w:val="pt-BR" w:eastAsia="pt-BR"/>
        </w:rPr>
        <w:t>Declaro, para os devidos fins de direito, que as informações acima ref</w:t>
      </w:r>
      <w:r w:rsidR="00C70894" w:rsidRPr="00843CEE">
        <w:rPr>
          <w:rFonts w:asciiTheme="majorHAnsi" w:hAnsiTheme="majorHAnsi" w:cs="Arial"/>
          <w:iCs/>
          <w:sz w:val="20"/>
          <w:lang w:val="pt-BR" w:eastAsia="pt-BR"/>
        </w:rPr>
        <w:t>eridas são verdadeiras e dou fé, tendo sido aprovado o presente documento com a anuência dos membros da</w:t>
      </w:r>
      <w:r w:rsidR="00C70894" w:rsidRPr="00843CEE">
        <w:rPr>
          <w:rFonts w:asciiTheme="majorHAnsi" w:hAnsiTheme="majorHAnsi" w:cs="Arial"/>
          <w:sz w:val="20"/>
          <w:lang w:val="pt-BR" w:eastAsia="pt-BR"/>
        </w:rPr>
        <w:t xml:space="preserve"> </w:t>
      </w:r>
      <w:r w:rsidR="00D55D3C" w:rsidRPr="00843CEE">
        <w:rPr>
          <w:rFonts w:asciiTheme="majorHAnsi" w:hAnsiTheme="majorHAnsi" w:cs="Arial"/>
          <w:sz w:val="20"/>
          <w:lang w:val="pt-BR" w:eastAsia="pt-BR"/>
        </w:rPr>
        <w:t>Comissão de Exercício Profissional.</w:t>
      </w:r>
    </w:p>
    <w:p w14:paraId="79F2558A" w14:textId="77777777" w:rsidR="0000345C" w:rsidRPr="00843CEE" w:rsidRDefault="0000345C" w:rsidP="00D55D3C">
      <w:pPr>
        <w:spacing w:line="276" w:lineRule="auto"/>
        <w:jc w:val="center"/>
        <w:rPr>
          <w:rFonts w:asciiTheme="majorHAnsi" w:hAnsiTheme="majorHAnsi"/>
          <w:sz w:val="20"/>
          <w:lang w:val="pt-BR"/>
        </w:rPr>
      </w:pPr>
    </w:p>
    <w:p w14:paraId="3F33003E" w14:textId="77777777" w:rsidR="00843CEE" w:rsidRPr="00843CEE" w:rsidRDefault="00843CEE" w:rsidP="00D55D3C">
      <w:pPr>
        <w:spacing w:line="276" w:lineRule="auto"/>
        <w:jc w:val="center"/>
        <w:rPr>
          <w:rFonts w:asciiTheme="majorHAnsi" w:hAnsiTheme="majorHAnsi"/>
          <w:sz w:val="20"/>
          <w:lang w:val="pt-BR"/>
        </w:rPr>
      </w:pPr>
    </w:p>
    <w:p w14:paraId="4CA8A1E4" w14:textId="77777777" w:rsidR="00C70894" w:rsidRPr="00843CEE" w:rsidRDefault="00C70894" w:rsidP="00C70894">
      <w:pPr>
        <w:spacing w:line="276" w:lineRule="auto"/>
        <w:jc w:val="center"/>
        <w:rPr>
          <w:rFonts w:asciiTheme="majorHAnsi" w:hAnsiTheme="majorHAnsi" w:cs="Arial"/>
          <w:iCs/>
          <w:sz w:val="20"/>
          <w:lang w:val="pt-BR" w:eastAsia="pt-BR"/>
        </w:rPr>
      </w:pPr>
    </w:p>
    <w:p w14:paraId="7C578C61" w14:textId="77777777" w:rsidR="00C70894" w:rsidRPr="00843CEE" w:rsidRDefault="00C70894" w:rsidP="00C70894">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_________________________________________________________________________________</w:t>
      </w:r>
    </w:p>
    <w:p w14:paraId="45B15C4D" w14:textId="1A6017A4" w:rsidR="00C70894" w:rsidRPr="00843CEE" w:rsidRDefault="00837F1C" w:rsidP="00C70894">
      <w:pPr>
        <w:spacing w:line="276" w:lineRule="auto"/>
        <w:jc w:val="center"/>
        <w:rPr>
          <w:rFonts w:asciiTheme="majorHAnsi" w:eastAsia="Calibri" w:hAnsiTheme="majorHAnsi" w:cs="Times New Roman"/>
          <w:b/>
          <w:sz w:val="20"/>
          <w:lang w:val="pt-BR"/>
        </w:rPr>
      </w:pPr>
      <w:r w:rsidRPr="00843CEE">
        <w:rPr>
          <w:rFonts w:asciiTheme="majorHAnsi" w:eastAsia="Calibri" w:hAnsiTheme="majorHAnsi" w:cs="Times New Roman"/>
          <w:b/>
          <w:sz w:val="20"/>
          <w:lang w:val="pt-BR"/>
        </w:rPr>
        <w:t>Ademir Nogueira De Ávila</w:t>
      </w:r>
    </w:p>
    <w:p w14:paraId="402EC193" w14:textId="6FB3F76B" w:rsidR="00C70894" w:rsidRPr="00843CEE" w:rsidRDefault="00837F1C" w:rsidP="00C70894">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Coordenador</w:t>
      </w:r>
    </w:p>
    <w:p w14:paraId="5CC508CE" w14:textId="7FD6A04E" w:rsidR="00C70894" w:rsidRPr="00843CEE" w:rsidRDefault="00837F1C" w:rsidP="00C70894">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 xml:space="preserve"> Comissão de Exercício Profissional</w:t>
      </w:r>
    </w:p>
    <w:p w14:paraId="013DD4AD" w14:textId="77777777" w:rsidR="00843CEE" w:rsidRPr="00843CEE" w:rsidRDefault="00843CEE" w:rsidP="00C70894">
      <w:pPr>
        <w:spacing w:line="276" w:lineRule="auto"/>
        <w:jc w:val="center"/>
        <w:rPr>
          <w:rFonts w:asciiTheme="majorHAnsi" w:hAnsiTheme="majorHAnsi" w:cs="Arial"/>
          <w:sz w:val="20"/>
          <w:lang w:val="pt-BR" w:eastAsia="pt-BR"/>
        </w:rPr>
      </w:pPr>
    </w:p>
    <w:p w14:paraId="60C89986" w14:textId="77777777" w:rsidR="0000345C" w:rsidRPr="00843CEE" w:rsidRDefault="0000345C" w:rsidP="00C70894">
      <w:pPr>
        <w:spacing w:line="276" w:lineRule="auto"/>
        <w:jc w:val="center"/>
        <w:rPr>
          <w:rFonts w:asciiTheme="majorHAnsi" w:hAnsiTheme="majorHAnsi"/>
          <w:sz w:val="20"/>
          <w:lang w:val="pt-BR"/>
        </w:rPr>
      </w:pPr>
    </w:p>
    <w:p w14:paraId="0AB69667" w14:textId="77777777" w:rsidR="0000345C" w:rsidRPr="00843CEE" w:rsidRDefault="0000345C" w:rsidP="00C70894">
      <w:pPr>
        <w:spacing w:line="276" w:lineRule="auto"/>
        <w:jc w:val="center"/>
        <w:rPr>
          <w:rFonts w:asciiTheme="majorHAnsi" w:hAnsiTheme="majorHAnsi"/>
          <w:sz w:val="20"/>
          <w:lang w:val="pt-BR"/>
        </w:rPr>
      </w:pPr>
    </w:p>
    <w:p w14:paraId="0CEC4740" w14:textId="77777777" w:rsidR="00513883" w:rsidRPr="00843CEE" w:rsidRDefault="00513883" w:rsidP="00513883">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_________________________________________________________________________________</w:t>
      </w:r>
    </w:p>
    <w:p w14:paraId="5F7613A0" w14:textId="7CB88C48" w:rsidR="00513883" w:rsidRPr="00843CEE" w:rsidRDefault="00D55D3C" w:rsidP="00513883">
      <w:pPr>
        <w:spacing w:line="276" w:lineRule="auto"/>
        <w:jc w:val="center"/>
        <w:rPr>
          <w:rFonts w:asciiTheme="majorHAnsi" w:eastAsia="Calibri" w:hAnsiTheme="majorHAnsi" w:cs="Times New Roman"/>
          <w:b/>
          <w:sz w:val="20"/>
          <w:lang w:val="pt-BR"/>
        </w:rPr>
      </w:pPr>
      <w:r w:rsidRPr="00843CEE">
        <w:rPr>
          <w:rFonts w:asciiTheme="majorHAnsi" w:eastAsia="Calibri" w:hAnsiTheme="majorHAnsi" w:cs="Times New Roman"/>
          <w:b/>
          <w:sz w:val="20"/>
          <w:lang w:val="pt-BR"/>
        </w:rPr>
        <w:t>Darlan Gonçalves de Oliveira</w:t>
      </w:r>
    </w:p>
    <w:p w14:paraId="4FDBD5DD" w14:textId="14DFB7B5" w:rsidR="00513883" w:rsidRPr="00843CEE" w:rsidRDefault="00D55D3C" w:rsidP="00513883">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Arquiteto Analista – Assessor Técnico</w:t>
      </w:r>
    </w:p>
    <w:p w14:paraId="0BF66CC0" w14:textId="23391C91" w:rsidR="00513883" w:rsidRDefault="00513883" w:rsidP="007367E5">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 xml:space="preserve"> </w:t>
      </w:r>
      <w:r w:rsidR="00D55D3C" w:rsidRPr="00843CEE">
        <w:rPr>
          <w:rFonts w:asciiTheme="majorHAnsi" w:hAnsiTheme="majorHAnsi" w:cs="Arial"/>
          <w:sz w:val="20"/>
          <w:lang w:val="pt-BR" w:eastAsia="pt-BR"/>
        </w:rPr>
        <w:t>Comissão de Exercício Profissional</w:t>
      </w:r>
    </w:p>
    <w:p w14:paraId="1970FFA2" w14:textId="77777777" w:rsidR="00843CEE" w:rsidRDefault="00843CEE" w:rsidP="007367E5">
      <w:pPr>
        <w:spacing w:line="276" w:lineRule="auto"/>
        <w:jc w:val="center"/>
        <w:rPr>
          <w:rFonts w:asciiTheme="majorHAnsi" w:hAnsiTheme="majorHAnsi" w:cs="Arial"/>
          <w:sz w:val="20"/>
          <w:lang w:val="pt-BR" w:eastAsia="pt-BR"/>
        </w:rPr>
      </w:pPr>
    </w:p>
    <w:p w14:paraId="52CC7711" w14:textId="1582E434" w:rsidR="00053BB7" w:rsidRDefault="00053BB7" w:rsidP="008F1088">
      <w:pPr>
        <w:spacing w:line="276" w:lineRule="auto"/>
        <w:rPr>
          <w:rFonts w:asciiTheme="majorHAnsi" w:hAnsiTheme="majorHAnsi" w:cs="Arial"/>
          <w:sz w:val="20"/>
          <w:lang w:val="pt-BR" w:eastAsia="pt-BR"/>
        </w:rPr>
      </w:pPr>
    </w:p>
    <w:sectPr w:rsidR="00053BB7" w:rsidSect="008F1088">
      <w:headerReference w:type="default" r:id="rId8"/>
      <w:footerReference w:type="default" r:id="rId9"/>
      <w:pgSz w:w="11906" w:h="16838"/>
      <w:pgMar w:top="1559" w:right="851" w:bottom="851" w:left="851" w:header="720" w:footer="72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6D11" w14:textId="77777777" w:rsidR="000577A3" w:rsidRDefault="000577A3">
      <w:r>
        <w:separator/>
      </w:r>
    </w:p>
  </w:endnote>
  <w:endnote w:type="continuationSeparator" w:id="0">
    <w:p w14:paraId="0371DE7B" w14:textId="77777777" w:rsidR="000577A3" w:rsidRDefault="0005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4F6C455B" w:rsidR="000F4FED" w:rsidRDefault="00DA52FE">
    <w:pPr>
      <w:pStyle w:val="Rodap"/>
      <w:jc w:val="right"/>
    </w:pPr>
    <w:r>
      <w:rPr>
        <w:noProof/>
        <w:lang w:val="pt-BR" w:eastAsia="pt-BR"/>
      </w:rPr>
      <w:drawing>
        <wp:anchor distT="0" distB="0" distL="0" distR="0" simplePos="0" relativeHeight="7" behindDoc="1" locked="0" layoutInCell="0" allowOverlap="1" wp14:anchorId="114734A9" wp14:editId="1DBF333A">
          <wp:simplePos x="0" y="0"/>
          <wp:positionH relativeFrom="page">
            <wp:align>left</wp:align>
          </wp:positionH>
          <wp:positionV relativeFrom="paragraph">
            <wp:posOffset>73025</wp:posOffset>
          </wp:positionV>
          <wp:extent cx="7559675" cy="541655"/>
          <wp:effectExtent l="0" t="0" r="317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9894" w14:textId="77777777" w:rsidR="000577A3" w:rsidRDefault="000577A3">
      <w:r>
        <w:separator/>
      </w:r>
    </w:p>
  </w:footnote>
  <w:footnote w:type="continuationSeparator" w:id="0">
    <w:p w14:paraId="13D6A6A3" w14:textId="77777777" w:rsidR="000577A3" w:rsidRDefault="0005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442EB897" w:rsidR="000F4FED" w:rsidRDefault="000F4FED">
    <w:pPr>
      <w:pStyle w:val="Cabealho"/>
    </w:pPr>
    <w:r>
      <w:rPr>
        <w:noProof/>
        <w:lang w:val="pt-BR" w:eastAsia="pt-BR"/>
      </w:rPr>
      <w:drawing>
        <wp:anchor distT="0" distB="0" distL="0" distR="0" simplePos="0" relativeHeight="4" behindDoc="1" locked="0" layoutInCell="0" allowOverlap="1" wp14:anchorId="05D80AA5" wp14:editId="07AD9F5C">
          <wp:simplePos x="0" y="0"/>
          <wp:positionH relativeFrom="page">
            <wp:align>left</wp:align>
          </wp:positionH>
          <wp:positionV relativeFrom="page">
            <wp:align>top</wp:align>
          </wp:positionV>
          <wp:extent cx="7560310" cy="900430"/>
          <wp:effectExtent l="0" t="0" r="254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AA57A1"/>
    <w:multiLevelType w:val="multilevel"/>
    <w:tmpl w:val="EFC045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7" w15:restartNumberingAfterBreak="0">
    <w:nsid w:val="790F7F97"/>
    <w:multiLevelType w:val="hybridMultilevel"/>
    <w:tmpl w:val="A96AC694"/>
    <w:lvl w:ilvl="0" w:tplc="EA38154E">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8"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1471511732">
    <w:abstractNumId w:val="26"/>
  </w:num>
  <w:num w:numId="2" w16cid:durableId="1005594255">
    <w:abstractNumId w:val="36"/>
  </w:num>
  <w:num w:numId="3" w16cid:durableId="926887511">
    <w:abstractNumId w:val="18"/>
  </w:num>
  <w:num w:numId="4" w16cid:durableId="1049841345">
    <w:abstractNumId w:val="29"/>
  </w:num>
  <w:num w:numId="5" w16cid:durableId="235481144">
    <w:abstractNumId w:val="6"/>
  </w:num>
  <w:num w:numId="6" w16cid:durableId="1330060056">
    <w:abstractNumId w:val="24"/>
  </w:num>
  <w:num w:numId="7" w16cid:durableId="983050184">
    <w:abstractNumId w:val="1"/>
  </w:num>
  <w:num w:numId="8" w16cid:durableId="872577712">
    <w:abstractNumId w:val="28"/>
  </w:num>
  <w:num w:numId="9" w16cid:durableId="1459185809">
    <w:abstractNumId w:val="5"/>
  </w:num>
  <w:num w:numId="10" w16cid:durableId="1845053369">
    <w:abstractNumId w:val="4"/>
  </w:num>
  <w:num w:numId="11" w16cid:durableId="1761412470">
    <w:abstractNumId w:val="16"/>
  </w:num>
  <w:num w:numId="12" w16cid:durableId="1687750743">
    <w:abstractNumId w:val="2"/>
  </w:num>
  <w:num w:numId="13" w16cid:durableId="299194237">
    <w:abstractNumId w:val="13"/>
  </w:num>
  <w:num w:numId="14" w16cid:durableId="449131539">
    <w:abstractNumId w:val="17"/>
  </w:num>
  <w:num w:numId="15" w16cid:durableId="514851565">
    <w:abstractNumId w:val="12"/>
  </w:num>
  <w:num w:numId="16" w16cid:durableId="907810440">
    <w:abstractNumId w:val="22"/>
  </w:num>
  <w:num w:numId="17" w16cid:durableId="908467021">
    <w:abstractNumId w:val="14"/>
  </w:num>
  <w:num w:numId="18" w16cid:durableId="2028827671">
    <w:abstractNumId w:val="3"/>
  </w:num>
  <w:num w:numId="19" w16cid:durableId="732779630">
    <w:abstractNumId w:val="31"/>
  </w:num>
  <w:num w:numId="20" w16cid:durableId="1678968034">
    <w:abstractNumId w:val="7"/>
  </w:num>
  <w:num w:numId="21" w16cid:durableId="953904274">
    <w:abstractNumId w:val="23"/>
  </w:num>
  <w:num w:numId="22" w16cid:durableId="1329865611">
    <w:abstractNumId w:val="19"/>
  </w:num>
  <w:num w:numId="23" w16cid:durableId="1987321658">
    <w:abstractNumId w:val="20"/>
  </w:num>
  <w:num w:numId="24" w16cid:durableId="671881480">
    <w:abstractNumId w:val="9"/>
  </w:num>
  <w:num w:numId="25" w16cid:durableId="223875979">
    <w:abstractNumId w:val="33"/>
  </w:num>
  <w:num w:numId="26" w16cid:durableId="802622520">
    <w:abstractNumId w:val="32"/>
  </w:num>
  <w:num w:numId="27" w16cid:durableId="862283478">
    <w:abstractNumId w:val="11"/>
  </w:num>
  <w:num w:numId="28" w16cid:durableId="230119883">
    <w:abstractNumId w:val="30"/>
  </w:num>
  <w:num w:numId="29" w16cid:durableId="288322594">
    <w:abstractNumId w:val="0"/>
  </w:num>
  <w:num w:numId="30" w16cid:durableId="1807120005">
    <w:abstractNumId w:val="8"/>
  </w:num>
  <w:num w:numId="31" w16cid:durableId="22827750">
    <w:abstractNumId w:val="38"/>
  </w:num>
  <w:num w:numId="32" w16cid:durableId="911308538">
    <w:abstractNumId w:val="15"/>
  </w:num>
  <w:num w:numId="33" w16cid:durableId="1504082436">
    <w:abstractNumId w:val="35"/>
  </w:num>
  <w:num w:numId="34" w16cid:durableId="241374957">
    <w:abstractNumId w:val="34"/>
  </w:num>
  <w:num w:numId="35" w16cid:durableId="1628779639">
    <w:abstractNumId w:val="10"/>
  </w:num>
  <w:num w:numId="36" w16cid:durableId="140078968">
    <w:abstractNumId w:val="27"/>
  </w:num>
  <w:num w:numId="37" w16cid:durableId="1877695837">
    <w:abstractNumId w:val="21"/>
  </w:num>
  <w:num w:numId="38" w16cid:durableId="1706171117">
    <w:abstractNumId w:val="37"/>
  </w:num>
  <w:num w:numId="39" w16cid:durableId="3953226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5"/>
    <w:rsid w:val="0000345C"/>
    <w:rsid w:val="00010FFE"/>
    <w:rsid w:val="000161DE"/>
    <w:rsid w:val="00034744"/>
    <w:rsid w:val="00034EDE"/>
    <w:rsid w:val="00035DCC"/>
    <w:rsid w:val="00037BB2"/>
    <w:rsid w:val="00042ECB"/>
    <w:rsid w:val="00045E51"/>
    <w:rsid w:val="00053BB7"/>
    <w:rsid w:val="000577A3"/>
    <w:rsid w:val="00060F9C"/>
    <w:rsid w:val="000907DD"/>
    <w:rsid w:val="000B24B8"/>
    <w:rsid w:val="000D5801"/>
    <w:rsid w:val="000E60E2"/>
    <w:rsid w:val="000E7D1C"/>
    <w:rsid w:val="000F056F"/>
    <w:rsid w:val="000F4FED"/>
    <w:rsid w:val="00105EC1"/>
    <w:rsid w:val="001104D7"/>
    <w:rsid w:val="001318DD"/>
    <w:rsid w:val="001618BE"/>
    <w:rsid w:val="00166CBA"/>
    <w:rsid w:val="0017578F"/>
    <w:rsid w:val="001A3F23"/>
    <w:rsid w:val="001A4779"/>
    <w:rsid w:val="001A7AAF"/>
    <w:rsid w:val="001C01D8"/>
    <w:rsid w:val="001E1C07"/>
    <w:rsid w:val="001F127C"/>
    <w:rsid w:val="001F4D90"/>
    <w:rsid w:val="00207B52"/>
    <w:rsid w:val="00212507"/>
    <w:rsid w:val="00216FDA"/>
    <w:rsid w:val="002429D1"/>
    <w:rsid w:val="002711C4"/>
    <w:rsid w:val="00272F38"/>
    <w:rsid w:val="002A29FA"/>
    <w:rsid w:val="002A57A5"/>
    <w:rsid w:val="002B2ED6"/>
    <w:rsid w:val="002E570A"/>
    <w:rsid w:val="002E6385"/>
    <w:rsid w:val="002F7309"/>
    <w:rsid w:val="003050BA"/>
    <w:rsid w:val="003235B1"/>
    <w:rsid w:val="00330D38"/>
    <w:rsid w:val="003403DC"/>
    <w:rsid w:val="00344C09"/>
    <w:rsid w:val="00347790"/>
    <w:rsid w:val="003526E8"/>
    <w:rsid w:val="00352AA4"/>
    <w:rsid w:val="003574F9"/>
    <w:rsid w:val="0037114A"/>
    <w:rsid w:val="003B51DE"/>
    <w:rsid w:val="003C06C1"/>
    <w:rsid w:val="003C1025"/>
    <w:rsid w:val="003D67E5"/>
    <w:rsid w:val="003D74A7"/>
    <w:rsid w:val="003E22CE"/>
    <w:rsid w:val="004019BC"/>
    <w:rsid w:val="00433005"/>
    <w:rsid w:val="00452CA3"/>
    <w:rsid w:val="00454C95"/>
    <w:rsid w:val="0045596F"/>
    <w:rsid w:val="00455BEE"/>
    <w:rsid w:val="00462C72"/>
    <w:rsid w:val="00474856"/>
    <w:rsid w:val="00475E5D"/>
    <w:rsid w:val="00476564"/>
    <w:rsid w:val="00481423"/>
    <w:rsid w:val="004901A3"/>
    <w:rsid w:val="004A5592"/>
    <w:rsid w:val="004B58F0"/>
    <w:rsid w:val="004C4D47"/>
    <w:rsid w:val="004D1FF1"/>
    <w:rsid w:val="00513883"/>
    <w:rsid w:val="005202A3"/>
    <w:rsid w:val="00522421"/>
    <w:rsid w:val="0053398C"/>
    <w:rsid w:val="00552B8A"/>
    <w:rsid w:val="00575F50"/>
    <w:rsid w:val="00581A01"/>
    <w:rsid w:val="00585814"/>
    <w:rsid w:val="005B5A2B"/>
    <w:rsid w:val="005C19B3"/>
    <w:rsid w:val="005C4EF1"/>
    <w:rsid w:val="005C5290"/>
    <w:rsid w:val="005D3448"/>
    <w:rsid w:val="0061502B"/>
    <w:rsid w:val="006232E4"/>
    <w:rsid w:val="0063417F"/>
    <w:rsid w:val="0064672F"/>
    <w:rsid w:val="00655AD6"/>
    <w:rsid w:val="0066517D"/>
    <w:rsid w:val="00686D15"/>
    <w:rsid w:val="00692726"/>
    <w:rsid w:val="006B1141"/>
    <w:rsid w:val="006D28CA"/>
    <w:rsid w:val="006E6D2D"/>
    <w:rsid w:val="006F51B0"/>
    <w:rsid w:val="00720A3D"/>
    <w:rsid w:val="007367E5"/>
    <w:rsid w:val="00744ECE"/>
    <w:rsid w:val="00750E36"/>
    <w:rsid w:val="00761C87"/>
    <w:rsid w:val="007958C6"/>
    <w:rsid w:val="007C5270"/>
    <w:rsid w:val="007F1BD0"/>
    <w:rsid w:val="00837F1C"/>
    <w:rsid w:val="00843CEE"/>
    <w:rsid w:val="00845619"/>
    <w:rsid w:val="008724F5"/>
    <w:rsid w:val="00880ED6"/>
    <w:rsid w:val="00883818"/>
    <w:rsid w:val="008B36A9"/>
    <w:rsid w:val="008D38A8"/>
    <w:rsid w:val="008D6C47"/>
    <w:rsid w:val="008F1088"/>
    <w:rsid w:val="009229C4"/>
    <w:rsid w:val="009251C0"/>
    <w:rsid w:val="00945A0B"/>
    <w:rsid w:val="00961DF5"/>
    <w:rsid w:val="00966DA1"/>
    <w:rsid w:val="009A39AA"/>
    <w:rsid w:val="009B3A08"/>
    <w:rsid w:val="009C1FAC"/>
    <w:rsid w:val="009C2FC9"/>
    <w:rsid w:val="009D124E"/>
    <w:rsid w:val="00A07397"/>
    <w:rsid w:val="00A114E4"/>
    <w:rsid w:val="00A45896"/>
    <w:rsid w:val="00A51740"/>
    <w:rsid w:val="00A760FF"/>
    <w:rsid w:val="00A95079"/>
    <w:rsid w:val="00AB4334"/>
    <w:rsid w:val="00AB4D4F"/>
    <w:rsid w:val="00AC2C8D"/>
    <w:rsid w:val="00B0396E"/>
    <w:rsid w:val="00B17350"/>
    <w:rsid w:val="00B26BE0"/>
    <w:rsid w:val="00B30203"/>
    <w:rsid w:val="00B44E9E"/>
    <w:rsid w:val="00B60DCF"/>
    <w:rsid w:val="00B61BEC"/>
    <w:rsid w:val="00B64488"/>
    <w:rsid w:val="00B95C06"/>
    <w:rsid w:val="00BB6B85"/>
    <w:rsid w:val="00BB7825"/>
    <w:rsid w:val="00BC07EA"/>
    <w:rsid w:val="00BC3539"/>
    <w:rsid w:val="00BD582B"/>
    <w:rsid w:val="00BE3014"/>
    <w:rsid w:val="00BE7620"/>
    <w:rsid w:val="00C12984"/>
    <w:rsid w:val="00C12B27"/>
    <w:rsid w:val="00C13373"/>
    <w:rsid w:val="00C13A87"/>
    <w:rsid w:val="00C22179"/>
    <w:rsid w:val="00C5259B"/>
    <w:rsid w:val="00C54CB5"/>
    <w:rsid w:val="00C6352D"/>
    <w:rsid w:val="00C636D3"/>
    <w:rsid w:val="00C70894"/>
    <w:rsid w:val="00C73715"/>
    <w:rsid w:val="00C87CBF"/>
    <w:rsid w:val="00C979E1"/>
    <w:rsid w:val="00CA7815"/>
    <w:rsid w:val="00CC25AE"/>
    <w:rsid w:val="00CF2C23"/>
    <w:rsid w:val="00D054AE"/>
    <w:rsid w:val="00D07860"/>
    <w:rsid w:val="00D15B06"/>
    <w:rsid w:val="00D54875"/>
    <w:rsid w:val="00D55D3C"/>
    <w:rsid w:val="00D673DB"/>
    <w:rsid w:val="00DA52FE"/>
    <w:rsid w:val="00DA7171"/>
    <w:rsid w:val="00DB145C"/>
    <w:rsid w:val="00DE447E"/>
    <w:rsid w:val="00DE481A"/>
    <w:rsid w:val="00DF398B"/>
    <w:rsid w:val="00DF51B6"/>
    <w:rsid w:val="00E07BC5"/>
    <w:rsid w:val="00E203D1"/>
    <w:rsid w:val="00E20A1C"/>
    <w:rsid w:val="00E32874"/>
    <w:rsid w:val="00E552B6"/>
    <w:rsid w:val="00E57BE2"/>
    <w:rsid w:val="00E77647"/>
    <w:rsid w:val="00E80F2A"/>
    <w:rsid w:val="00E82A77"/>
    <w:rsid w:val="00EC1861"/>
    <w:rsid w:val="00EC36CA"/>
    <w:rsid w:val="00ED28C8"/>
    <w:rsid w:val="00EE57BA"/>
    <w:rsid w:val="00F00BA5"/>
    <w:rsid w:val="00F03D50"/>
    <w:rsid w:val="00F11990"/>
    <w:rsid w:val="00F11E8A"/>
    <w:rsid w:val="00F17FA6"/>
    <w:rsid w:val="00F202BC"/>
    <w:rsid w:val="00F35473"/>
    <w:rsid w:val="00F92619"/>
    <w:rsid w:val="00F96261"/>
    <w:rsid w:val="00FA7D4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11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5346">
      <w:bodyDiv w:val="1"/>
      <w:marLeft w:val="0"/>
      <w:marRight w:val="0"/>
      <w:marTop w:val="0"/>
      <w:marBottom w:val="0"/>
      <w:divBdr>
        <w:top w:val="none" w:sz="0" w:space="0" w:color="auto"/>
        <w:left w:val="none" w:sz="0" w:space="0" w:color="auto"/>
        <w:bottom w:val="none" w:sz="0" w:space="0" w:color="auto"/>
        <w:right w:val="none" w:sz="0" w:space="0" w:color="auto"/>
      </w:divBdr>
    </w:div>
    <w:div w:id="412512283">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711539656">
      <w:bodyDiv w:val="1"/>
      <w:marLeft w:val="0"/>
      <w:marRight w:val="0"/>
      <w:marTop w:val="0"/>
      <w:marBottom w:val="0"/>
      <w:divBdr>
        <w:top w:val="none" w:sz="0" w:space="0" w:color="auto"/>
        <w:left w:val="none" w:sz="0" w:space="0" w:color="auto"/>
        <w:bottom w:val="none" w:sz="0" w:space="0" w:color="auto"/>
        <w:right w:val="none" w:sz="0" w:space="0" w:color="auto"/>
      </w:divBdr>
    </w:div>
    <w:div w:id="763301674">
      <w:bodyDiv w:val="1"/>
      <w:marLeft w:val="0"/>
      <w:marRight w:val="0"/>
      <w:marTop w:val="0"/>
      <w:marBottom w:val="0"/>
      <w:divBdr>
        <w:top w:val="none" w:sz="0" w:space="0" w:color="auto"/>
        <w:left w:val="none" w:sz="0" w:space="0" w:color="auto"/>
        <w:bottom w:val="none" w:sz="0" w:space="0" w:color="auto"/>
        <w:right w:val="none" w:sz="0" w:space="0" w:color="auto"/>
      </w:divBdr>
    </w:div>
    <w:div w:id="935097749">
      <w:bodyDiv w:val="1"/>
      <w:marLeft w:val="0"/>
      <w:marRight w:val="0"/>
      <w:marTop w:val="0"/>
      <w:marBottom w:val="0"/>
      <w:divBdr>
        <w:top w:val="none" w:sz="0" w:space="0" w:color="auto"/>
        <w:left w:val="none" w:sz="0" w:space="0" w:color="auto"/>
        <w:bottom w:val="none" w:sz="0" w:space="0" w:color="auto"/>
        <w:right w:val="none" w:sz="0" w:space="0" w:color="auto"/>
      </w:divBdr>
    </w:div>
    <w:div w:id="1100031898">
      <w:bodyDiv w:val="1"/>
      <w:marLeft w:val="0"/>
      <w:marRight w:val="0"/>
      <w:marTop w:val="0"/>
      <w:marBottom w:val="0"/>
      <w:divBdr>
        <w:top w:val="none" w:sz="0" w:space="0" w:color="auto"/>
        <w:left w:val="none" w:sz="0" w:space="0" w:color="auto"/>
        <w:bottom w:val="none" w:sz="0" w:space="0" w:color="auto"/>
        <w:right w:val="none" w:sz="0" w:space="0" w:color="auto"/>
      </w:divBdr>
    </w:div>
    <w:div w:id="1165825679">
      <w:bodyDiv w:val="1"/>
      <w:marLeft w:val="0"/>
      <w:marRight w:val="0"/>
      <w:marTop w:val="0"/>
      <w:marBottom w:val="0"/>
      <w:divBdr>
        <w:top w:val="none" w:sz="0" w:space="0" w:color="auto"/>
        <w:left w:val="none" w:sz="0" w:space="0" w:color="auto"/>
        <w:bottom w:val="none" w:sz="0" w:space="0" w:color="auto"/>
        <w:right w:val="none" w:sz="0" w:space="0" w:color="auto"/>
      </w:divBdr>
    </w:div>
    <w:div w:id="1168398853">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6323726">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620337342">
      <w:bodyDiv w:val="1"/>
      <w:marLeft w:val="0"/>
      <w:marRight w:val="0"/>
      <w:marTop w:val="0"/>
      <w:marBottom w:val="0"/>
      <w:divBdr>
        <w:top w:val="none" w:sz="0" w:space="0" w:color="auto"/>
        <w:left w:val="none" w:sz="0" w:space="0" w:color="auto"/>
        <w:bottom w:val="none" w:sz="0" w:space="0" w:color="auto"/>
        <w:right w:val="none" w:sz="0" w:space="0" w:color="auto"/>
      </w:divBdr>
    </w:div>
    <w:div w:id="1736976586">
      <w:bodyDiv w:val="1"/>
      <w:marLeft w:val="0"/>
      <w:marRight w:val="0"/>
      <w:marTop w:val="0"/>
      <w:marBottom w:val="0"/>
      <w:divBdr>
        <w:top w:val="none" w:sz="0" w:space="0" w:color="auto"/>
        <w:left w:val="none" w:sz="0" w:space="0" w:color="auto"/>
        <w:bottom w:val="none" w:sz="0" w:space="0" w:color="auto"/>
        <w:right w:val="none" w:sz="0" w:space="0" w:color="auto"/>
      </w:divBdr>
    </w:div>
    <w:div w:id="1893223612">
      <w:bodyDiv w:val="1"/>
      <w:marLeft w:val="0"/>
      <w:marRight w:val="0"/>
      <w:marTop w:val="0"/>
      <w:marBottom w:val="0"/>
      <w:divBdr>
        <w:top w:val="none" w:sz="0" w:space="0" w:color="auto"/>
        <w:left w:val="none" w:sz="0" w:space="0" w:color="auto"/>
        <w:bottom w:val="none" w:sz="0" w:space="0" w:color="auto"/>
        <w:right w:val="none" w:sz="0" w:space="0" w:color="auto"/>
      </w:divBdr>
    </w:div>
    <w:div w:id="1943340327">
      <w:bodyDiv w:val="1"/>
      <w:marLeft w:val="0"/>
      <w:marRight w:val="0"/>
      <w:marTop w:val="0"/>
      <w:marBottom w:val="0"/>
      <w:divBdr>
        <w:top w:val="none" w:sz="0" w:space="0" w:color="auto"/>
        <w:left w:val="none" w:sz="0" w:space="0" w:color="auto"/>
        <w:bottom w:val="none" w:sz="0" w:space="0" w:color="auto"/>
        <w:right w:val="none" w:sz="0" w:space="0" w:color="auto"/>
      </w:divBdr>
    </w:div>
    <w:div w:id="2142574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D632-22D9-4A5A-9C56-48F9D774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722</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Oliveira</cp:lastModifiedBy>
  <cp:revision>38</cp:revision>
  <cp:lastPrinted>2023-03-29T16:01:00Z</cp:lastPrinted>
  <dcterms:created xsi:type="dcterms:W3CDTF">2021-04-01T19:06:00Z</dcterms:created>
  <dcterms:modified xsi:type="dcterms:W3CDTF">2023-03-29T16:02:00Z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