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3EF93F8F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203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.4.1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607BC0D" w:rsidR="0053398C" w:rsidRPr="00513883" w:rsidRDefault="0000345C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Protocolo SICCAU n° 1660818/2022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CB0FF51" w14:textId="77777777" w:rsidR="0000345C" w:rsidRPr="0000345C" w:rsidRDefault="0000345C" w:rsidP="0000345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00345C">
              <w:rPr>
                <w:rFonts w:asciiTheme="majorHAnsi" w:hAnsiTheme="majorHAnsi"/>
                <w:lang w:val="pt-BR"/>
              </w:rPr>
              <w:t>Setor de Certidão de Acervo Técnico do CAU/MG;</w:t>
            </w:r>
          </w:p>
          <w:p w14:paraId="71A7F85B" w14:textId="2D3FBBB1" w:rsidR="0053398C" w:rsidRPr="00513883" w:rsidRDefault="0000345C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00345C">
              <w:rPr>
                <w:rFonts w:asciiTheme="majorHAnsi" w:hAnsiTheme="majorHAnsi"/>
                <w:lang w:val="pt-BR"/>
              </w:rPr>
              <w:t xml:space="preserve">Arquiteto e Urbanista Rafael </w:t>
            </w:r>
            <w:proofErr w:type="spellStart"/>
            <w:r w:rsidRPr="0000345C">
              <w:rPr>
                <w:rFonts w:asciiTheme="majorHAnsi" w:hAnsiTheme="majorHAnsi"/>
                <w:lang w:val="pt-BR"/>
              </w:rPr>
              <w:t>Decina</w:t>
            </w:r>
            <w:proofErr w:type="spellEnd"/>
            <w:r w:rsidRPr="0000345C">
              <w:rPr>
                <w:rFonts w:asciiTheme="majorHAnsi" w:hAnsiTheme="majorHAnsi"/>
                <w:lang w:val="pt-BR"/>
              </w:rPr>
              <w:t xml:space="preserve"> Arantes (CAU A35517-8)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59C11E7" w:rsidR="0053398C" w:rsidRPr="00513883" w:rsidRDefault="0000345C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00345C">
              <w:rPr>
                <w:rFonts w:asciiTheme="majorHAnsi" w:hAnsiTheme="majorHAnsi" w:cs="Times New Roman"/>
                <w:b/>
                <w:lang w:val="pt-BR"/>
              </w:rPr>
              <w:t>ANÁLISE DE RECURSO INTERPOSTO POR PROFISSIONAL REFERENTE A INDEFERIMENTO DA SOLICITAÇÃO DE CERTIDÃO DE ACER</w:t>
            </w:r>
            <w:r>
              <w:rPr>
                <w:rFonts w:asciiTheme="majorHAnsi" w:hAnsiTheme="majorHAnsi" w:cs="Times New Roman"/>
                <w:b/>
                <w:lang w:val="pt-BR"/>
              </w:rPr>
              <w:t>VO TÉCNICO COM ATESTADO (CAT-A)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80FCCDE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A53921">
        <w:rPr>
          <w:rFonts w:asciiTheme="majorHAnsi" w:hAnsiTheme="majorHAnsi" w:cs="Times New Roman"/>
          <w:lang w:val="pt-BR"/>
        </w:rPr>
        <w:t>o Funcionários, Belo Horizonte/</w:t>
      </w:r>
      <w:bookmarkStart w:id="1" w:name="_GoBack"/>
      <w:bookmarkEnd w:id="1"/>
      <w:proofErr w:type="gramStart"/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 no</w:t>
      </w:r>
      <w:proofErr w:type="gramEnd"/>
      <w:r w:rsidRPr="00513883">
        <w:rPr>
          <w:rFonts w:asciiTheme="majorHAnsi" w:hAnsiTheme="majorHAnsi" w:cs="Times New Roman"/>
          <w:lang w:val="pt-BR"/>
        </w:rPr>
        <w:t xml:space="preserve"> dia </w:t>
      </w:r>
      <w:r w:rsidR="00D55D3C">
        <w:rPr>
          <w:rFonts w:asciiTheme="majorHAnsi" w:hAnsiTheme="majorHAnsi" w:cs="Times New Roman"/>
          <w:lang w:val="pt-BR"/>
        </w:rPr>
        <w:t>18 de janeiro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560B0765" w14:textId="77777777" w:rsidR="005B5A2B" w:rsidRPr="0000345C" w:rsidRDefault="005B5A2B" w:rsidP="005B5A2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0"/>
          <w:szCs w:val="21"/>
          <w:lang w:val="pt-BR"/>
        </w:rPr>
      </w:pPr>
      <w:r w:rsidRPr="0000345C">
        <w:rPr>
          <w:rFonts w:ascii="Cambria" w:hAnsi="Cambria" w:cs="Times New Roman"/>
          <w:i/>
          <w:sz w:val="20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002792D9" w14:textId="77777777" w:rsidR="005B5A2B" w:rsidRPr="0000345C" w:rsidRDefault="005B5A2B" w:rsidP="005B5A2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0"/>
          <w:szCs w:val="21"/>
          <w:lang w:val="pt-BR"/>
        </w:rPr>
      </w:pPr>
      <w:r w:rsidRPr="0000345C">
        <w:rPr>
          <w:rFonts w:ascii="Cambria" w:hAnsi="Cambria" w:cs="Times New Roman"/>
          <w:i/>
          <w:sz w:val="20"/>
          <w:szCs w:val="21"/>
          <w:lang w:val="pt-BR"/>
        </w:rPr>
        <w:t xml:space="preserve">I - </w:t>
      </w:r>
      <w:proofErr w:type="gramStart"/>
      <w:r w:rsidRPr="0000345C">
        <w:rPr>
          <w:rFonts w:ascii="Cambria" w:hAnsi="Cambria" w:cs="Times New Roman"/>
          <w:i/>
          <w:sz w:val="20"/>
          <w:szCs w:val="21"/>
          <w:lang w:val="pt-BR"/>
        </w:rPr>
        <w:t>propor</w:t>
      </w:r>
      <w:proofErr w:type="gramEnd"/>
      <w:r w:rsidRPr="0000345C">
        <w:rPr>
          <w:rFonts w:ascii="Cambria" w:hAnsi="Cambria" w:cs="Times New Roman"/>
          <w:i/>
          <w:sz w:val="20"/>
          <w:szCs w:val="21"/>
          <w:lang w:val="pt-BR"/>
        </w:rPr>
        <w:t>, apreciar e deliberar sobre aprimoramento de atos normativos do CAU/BR referentes ao exercício profissional, a ser encaminhado via presidência do CAU/MG para deliberação pelo CAU/BR, sobre procedimentos para:</w:t>
      </w:r>
    </w:p>
    <w:p w14:paraId="09394A8E" w14:textId="77777777" w:rsidR="005B5A2B" w:rsidRPr="0000345C" w:rsidRDefault="005B5A2B" w:rsidP="005B5A2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0"/>
          <w:szCs w:val="21"/>
          <w:lang w:val="pt-BR"/>
        </w:rPr>
      </w:pPr>
      <w:r w:rsidRPr="0000345C">
        <w:rPr>
          <w:rFonts w:ascii="Cambria" w:hAnsi="Cambria" w:cs="Times New Roman"/>
          <w:i/>
          <w:sz w:val="20"/>
          <w:szCs w:val="21"/>
          <w:lang w:val="pt-BR"/>
        </w:rPr>
        <w:t>[...]</w:t>
      </w:r>
    </w:p>
    <w:p w14:paraId="75EDD425" w14:textId="77777777" w:rsidR="005B5A2B" w:rsidRPr="0000345C" w:rsidRDefault="005B5A2B" w:rsidP="005B5A2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0"/>
          <w:szCs w:val="21"/>
          <w:lang w:val="pt-BR"/>
        </w:rPr>
      </w:pPr>
      <w:r w:rsidRPr="0000345C">
        <w:rPr>
          <w:rFonts w:ascii="Cambria" w:hAnsi="Cambria" w:cs="Times New Roman"/>
          <w:i/>
          <w:sz w:val="20"/>
          <w:szCs w:val="21"/>
          <w:lang w:val="pt-BR"/>
        </w:rPr>
        <w:t>c) certidões e registro de atestados; e</w:t>
      </w:r>
    </w:p>
    <w:p w14:paraId="51164BF9" w14:textId="77777777" w:rsidR="007367E5" w:rsidRPr="00B21808" w:rsidRDefault="007367E5" w:rsidP="007367E5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Considerando a Resolução n° 93, de 7 de novembro de 2014, que dispõe sobre a emissão de certidões pelos Conselhos de Arquitetura e Urbanismo dos Estados e do Distrito Federal (CAU/UF) e dá outras providências;</w:t>
      </w:r>
    </w:p>
    <w:p w14:paraId="063ED9D3" w14:textId="77777777" w:rsidR="007367E5" w:rsidRPr="009615CA" w:rsidRDefault="007367E5" w:rsidP="007367E5">
      <w:pPr>
        <w:widowControl/>
        <w:suppressLineNumbers/>
        <w:spacing w:before="120" w:after="120" w:line="276" w:lineRule="auto"/>
        <w:jc w:val="both"/>
        <w:rPr>
          <w:rFonts w:asciiTheme="majorHAnsi" w:eastAsia="Calibr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184.4.2, de 22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>
        <w:rPr>
          <w:rFonts w:asciiTheme="majorHAnsi" w:hAnsiTheme="majorHAnsi" w:cs="Times New Roman"/>
          <w:sz w:val="21"/>
          <w:szCs w:val="21"/>
          <w:lang w:val="pt-BR"/>
        </w:rPr>
        <w:t>novembro de 2021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desta Comissão de Exercício Profissional, que versa sobre os procedimentos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para preenchimento de </w:t>
      </w:r>
      <w:proofErr w:type="spellStart"/>
      <w:r>
        <w:rPr>
          <w:rFonts w:asciiTheme="majorHAnsi" w:hAnsiTheme="majorHAnsi" w:cs="Times New Roman"/>
          <w:sz w:val="21"/>
          <w:szCs w:val="21"/>
          <w:lang w:val="pt-BR"/>
        </w:rPr>
        <w:t>RRT’s</w:t>
      </w:r>
      <w:proofErr w:type="spellEnd"/>
      <w:r>
        <w:rPr>
          <w:rFonts w:asciiTheme="majorHAnsi" w:hAnsiTheme="majorHAnsi" w:cs="Times New Roman"/>
          <w:sz w:val="21"/>
          <w:szCs w:val="21"/>
          <w:lang w:val="pt-BR"/>
        </w:rPr>
        <w:t>, especificamente em relação ao preenchimento do endereço da atividade técnica, que dispõe:</w:t>
      </w:r>
      <w:r w:rsidRPr="009615CA">
        <w:rPr>
          <w:rFonts w:ascii="Cambria" w:hAnsi="Cambria" w:cs="Cambria"/>
          <w:color w:val="000000"/>
          <w:sz w:val="24"/>
          <w:szCs w:val="24"/>
          <w:lang w:val="pt-BR"/>
        </w:rPr>
        <w:t xml:space="preserve"> </w:t>
      </w:r>
    </w:p>
    <w:p w14:paraId="3437281A" w14:textId="77777777" w:rsidR="007367E5" w:rsidRPr="009615CA" w:rsidRDefault="007367E5" w:rsidP="007367E5">
      <w:pPr>
        <w:widowControl/>
        <w:suppressLineNumbers/>
        <w:spacing w:line="276" w:lineRule="auto"/>
        <w:ind w:left="2880"/>
        <w:jc w:val="both"/>
        <w:rPr>
          <w:rFonts w:ascii="Cambria" w:eastAsia="Calibri" w:hAnsi="Cambria" w:cs="Times New Roman"/>
          <w:i/>
          <w:sz w:val="20"/>
          <w:szCs w:val="21"/>
          <w:lang w:val="pt-BR"/>
        </w:rPr>
      </w:pPr>
      <w:r w:rsidRPr="009615CA">
        <w:rPr>
          <w:rFonts w:ascii="Cambria" w:eastAsia="Calibri" w:hAnsi="Cambria" w:cs="Times New Roman"/>
          <w:i/>
          <w:sz w:val="20"/>
          <w:szCs w:val="21"/>
          <w:lang w:val="pt-BR"/>
        </w:rPr>
        <w:t xml:space="preserve">a) O endereço da obra/serviço de que trata o item 3 do formulário de preenchimento do RRT (3. Dados da obra/serviço), deverá ser preenchido com o endereço ou localidade em que a atividade técnica será desempenhada. Ou seja, deverá ser informado, sempre que possível, o endereço da obra, edificação, terreno, área ou espaço urbano, e não o endereço da empresa contratante e/ou contratada; </w:t>
      </w:r>
    </w:p>
    <w:p w14:paraId="430A4CFB" w14:textId="77777777" w:rsidR="007367E5" w:rsidRPr="0000345C" w:rsidRDefault="007367E5" w:rsidP="007367E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0"/>
          <w:szCs w:val="21"/>
          <w:lang w:val="pt-BR"/>
        </w:rPr>
      </w:pPr>
      <w:proofErr w:type="gramStart"/>
      <w:r w:rsidRPr="0000345C">
        <w:rPr>
          <w:rFonts w:ascii="Cambria" w:hAnsi="Cambria" w:cs="Times New Roman"/>
          <w:i/>
          <w:sz w:val="20"/>
          <w:szCs w:val="21"/>
          <w:lang w:val="pt-BR"/>
        </w:rPr>
        <w:t>b) Fica</w:t>
      </w:r>
      <w:proofErr w:type="gramEnd"/>
      <w:r w:rsidRPr="0000345C">
        <w:rPr>
          <w:rFonts w:ascii="Cambria" w:hAnsi="Cambria" w:cs="Times New Roman"/>
          <w:i/>
          <w:sz w:val="20"/>
          <w:szCs w:val="21"/>
          <w:lang w:val="pt-BR"/>
        </w:rPr>
        <w:t xml:space="preserve"> facultado ao profissional informar o endereço da empresa contratante apenas para os casos de </w:t>
      </w:r>
      <w:proofErr w:type="spellStart"/>
      <w:r w:rsidRPr="0000345C">
        <w:rPr>
          <w:rFonts w:ascii="Cambria" w:hAnsi="Cambria" w:cs="Times New Roman"/>
          <w:i/>
          <w:sz w:val="20"/>
          <w:szCs w:val="21"/>
          <w:lang w:val="pt-BR"/>
        </w:rPr>
        <w:t>RRT’s</w:t>
      </w:r>
      <w:proofErr w:type="spellEnd"/>
      <w:r w:rsidRPr="0000345C">
        <w:rPr>
          <w:rFonts w:ascii="Cambria" w:hAnsi="Cambria" w:cs="Times New Roman"/>
          <w:i/>
          <w:sz w:val="20"/>
          <w:szCs w:val="21"/>
          <w:lang w:val="pt-BR"/>
        </w:rPr>
        <w:t xml:space="preserve"> referentes a atividades técnicas em que não seja possível vincular o serviço prestado à uma obra, edificação, terreno, área e/ou espaço urbano; </w:t>
      </w:r>
    </w:p>
    <w:p w14:paraId="7D38035C" w14:textId="77777777" w:rsidR="007367E5" w:rsidRPr="0000345C" w:rsidRDefault="007367E5" w:rsidP="007367E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0"/>
          <w:szCs w:val="21"/>
          <w:lang w:val="pt-BR"/>
        </w:rPr>
      </w:pPr>
      <w:proofErr w:type="gramStart"/>
      <w:r w:rsidRPr="0000345C">
        <w:rPr>
          <w:rFonts w:ascii="Cambria" w:hAnsi="Cambria" w:cs="Times New Roman"/>
          <w:i/>
          <w:sz w:val="20"/>
          <w:szCs w:val="21"/>
          <w:lang w:val="pt-BR"/>
        </w:rPr>
        <w:t>c) Cada</w:t>
      </w:r>
      <w:proofErr w:type="gramEnd"/>
      <w:r w:rsidRPr="0000345C">
        <w:rPr>
          <w:rFonts w:ascii="Cambria" w:hAnsi="Cambria" w:cs="Times New Roman"/>
          <w:i/>
          <w:sz w:val="20"/>
          <w:szCs w:val="21"/>
          <w:lang w:val="pt-BR"/>
        </w:rPr>
        <w:t xml:space="preserve"> atividade técnica deve estar vinculada a apenas um contratante e apenas um endereço de obra/serviço. Serviços que não compreendam um endereço específico, mas sim uma área/espaço mais abrangente, deverão indicar, no campo “logradouro”, a denominação mais adequada (Área, Gleba, Conjunto, ou outra denominação de logradouro mais adequada, conforme o caso, não sendo admitido o preenchimento de endereços “diversos” em um mesmo RRT); </w:t>
      </w:r>
    </w:p>
    <w:p w14:paraId="68E5D9E1" w14:textId="77777777" w:rsidR="007367E5" w:rsidRPr="00B21808" w:rsidRDefault="007367E5" w:rsidP="007367E5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Considerando solicitação de Certidão de Acervo Técnico com Atestado (CAT-A)</w:t>
      </w:r>
      <w:r>
        <w:rPr>
          <w:rFonts w:asciiTheme="majorHAnsi" w:hAnsiTheme="majorHAnsi" w:cs="Times New Roman"/>
          <w:sz w:val="21"/>
          <w:szCs w:val="21"/>
          <w:lang w:val="pt-BR"/>
        </w:rPr>
        <w:t>, Protocolo SICCAU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n° 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>1660818/2022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cadastrada pelo profissional requerente em sua página profissional, no ambiente SICCAU;</w:t>
      </w:r>
    </w:p>
    <w:p w14:paraId="54E47783" w14:textId="77777777" w:rsidR="007367E5" w:rsidRPr="00B21808" w:rsidRDefault="007367E5" w:rsidP="007367E5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as informações e documentos cadastrados no Protocolo SICCAU n° 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>1660818/2022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, que apresenta análise do Setor Técnico do CAU/MG, e encaminha despacho de notificação com diligências ao profissional requerente, solicitando retificação do endereço da obra/serviço no Registro de Responsabilidade Técnica (RRT) n° </w:t>
      </w:r>
      <w:r w:rsidRPr="00FA0FE7">
        <w:rPr>
          <w:rFonts w:asciiTheme="majorHAnsi" w:eastAsia="Calibri" w:hAnsiTheme="majorHAnsi" w:cs="Times New Roman"/>
          <w:sz w:val="21"/>
          <w:szCs w:val="21"/>
          <w:lang w:val="pt-BR"/>
        </w:rPr>
        <w:t>0000009504379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BC9B035" w14:textId="4012234D" w:rsidR="007367E5" w:rsidRDefault="007367E5" w:rsidP="007367E5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lastRenderedPageBreak/>
        <w:t xml:space="preserve">Considerando </w:t>
      </w:r>
      <w:r>
        <w:rPr>
          <w:rFonts w:asciiTheme="majorHAnsi" w:hAnsiTheme="majorHAnsi" w:cs="Times New Roman"/>
          <w:sz w:val="21"/>
          <w:szCs w:val="21"/>
          <w:lang w:val="pt-BR"/>
        </w:rPr>
        <w:t>recurso interposto pelo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profissional quanto à análise supracitada, e o encaminhamento do Protocolo SICCAU n° 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>1660818/2022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para apreciação por esta Comissão, conforme mensagem eletrônica do Setor Técnico do CAU/MG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6702ACE0" w14:textId="77777777" w:rsidR="007367E5" w:rsidRDefault="007367E5" w:rsidP="007367E5">
      <w:pPr>
        <w:pStyle w:val="PargrafodaLista"/>
        <w:numPr>
          <w:ilvl w:val="0"/>
          <w:numId w:val="37"/>
        </w:numPr>
        <w:suppressAutoHyphens w:val="0"/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Pela manutenção do </w:t>
      </w:r>
      <w:proofErr w:type="spellStart"/>
      <w:r w:rsidRPr="00B21808">
        <w:rPr>
          <w:rFonts w:asciiTheme="majorHAnsi" w:hAnsiTheme="majorHAnsi" w:cs="Times New Roman"/>
          <w:sz w:val="21"/>
          <w:szCs w:val="21"/>
          <w:lang w:val="pt-BR"/>
        </w:rPr>
        <w:t>diligenciamento</w:t>
      </w:r>
      <w:proofErr w:type="spellEnd"/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ao profissional requerente, nos termos da análise realizada pelo Setor Técnico do CAU/MG, e em conformidade com o despacho de notificação encaminhado por meio do Protocolo SICCAU n° </w:t>
      </w:r>
      <w:r w:rsidRPr="00E42108">
        <w:rPr>
          <w:rFonts w:asciiTheme="majorHAnsi" w:hAnsiTheme="majorHAnsi" w:cs="Times New Roman"/>
          <w:sz w:val="21"/>
          <w:szCs w:val="21"/>
          <w:lang w:val="pt-BR"/>
        </w:rPr>
        <w:t>1660818</w:t>
      </w:r>
      <w:r>
        <w:rPr>
          <w:rFonts w:asciiTheme="majorHAnsi" w:hAnsiTheme="majorHAnsi" w:cs="Times New Roman"/>
          <w:sz w:val="21"/>
          <w:szCs w:val="21"/>
          <w:lang w:val="pt-BR"/>
        </w:rPr>
        <w:t>/2022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em 26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>
        <w:rPr>
          <w:rFonts w:asciiTheme="majorHAnsi" w:hAnsiTheme="majorHAnsi" w:cs="Times New Roman"/>
          <w:sz w:val="21"/>
          <w:szCs w:val="21"/>
          <w:lang w:val="pt-BR"/>
        </w:rPr>
        <w:t>dezembro de 2022, que solicita a alteração do endereço da obra/serviço técnico, nos termos do Atestado de Capacidade Técnica apresentado;</w:t>
      </w:r>
    </w:p>
    <w:p w14:paraId="6CAEEF9B" w14:textId="77777777" w:rsidR="007367E5" w:rsidRDefault="007367E5" w:rsidP="007367E5">
      <w:pPr>
        <w:pStyle w:val="PargrafodaLista"/>
        <w:numPr>
          <w:ilvl w:val="0"/>
          <w:numId w:val="37"/>
        </w:numPr>
        <w:suppressAutoHyphens w:val="0"/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FA0FE7">
        <w:rPr>
          <w:rFonts w:asciiTheme="majorHAnsi" w:hAnsiTheme="majorHAnsi" w:cs="Times New Roman"/>
          <w:sz w:val="21"/>
          <w:szCs w:val="21"/>
          <w:lang w:val="pt-BR"/>
        </w:rPr>
        <w:t xml:space="preserve">Na impossibilidade de retificação do Registro de Responsabilidade Técnica (RRT) n° </w:t>
      </w:r>
      <w:r w:rsidRPr="00FA0FE7">
        <w:rPr>
          <w:rFonts w:asciiTheme="majorHAnsi" w:eastAsia="Calibri" w:hAnsiTheme="majorHAnsi" w:cs="Times New Roman"/>
          <w:sz w:val="21"/>
          <w:szCs w:val="21"/>
          <w:lang w:val="pt-BR"/>
        </w:rPr>
        <w:t>0000009504379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>
        <w:rPr>
          <w:rFonts w:asciiTheme="majorHAnsi" w:hAnsiTheme="majorHAnsi" w:cs="Times New Roman"/>
          <w:sz w:val="21"/>
          <w:szCs w:val="21"/>
          <w:lang w:val="pt-BR"/>
        </w:rPr>
        <w:t>s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 xml:space="preserve">olicitar ao profissional requerente </w:t>
      </w:r>
      <w:r>
        <w:rPr>
          <w:rFonts w:asciiTheme="majorHAnsi" w:hAnsiTheme="majorHAnsi" w:cs="Times New Roman"/>
          <w:sz w:val="21"/>
          <w:szCs w:val="21"/>
          <w:lang w:val="pt-BR"/>
        </w:rPr>
        <w:t>a emissão de novo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 xml:space="preserve"> Registro de Responsabilidade Técnica (RRT), nos termos da análise realizada pelo Setor Técnico do CAU/MG e em conformidade com o despacho de notificação encaminhado em 26 de dezembro de 2022</w:t>
      </w:r>
      <w:r>
        <w:rPr>
          <w:rFonts w:asciiTheme="majorHAnsi" w:hAnsiTheme="majorHAnsi" w:cs="Times New Roman"/>
          <w:sz w:val="21"/>
          <w:szCs w:val="21"/>
          <w:lang w:val="pt-BR"/>
        </w:rPr>
        <w:t>, com a correção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 xml:space="preserve"> do </w:t>
      </w:r>
      <w:r w:rsidRPr="00FA0FE7">
        <w:rPr>
          <w:rFonts w:asciiTheme="majorHAnsi" w:hAnsiTheme="majorHAnsi" w:cs="Times New Roman"/>
          <w:i/>
          <w:iCs/>
          <w:sz w:val="21"/>
          <w:szCs w:val="21"/>
          <w:lang w:val="pt-BR"/>
        </w:rPr>
        <w:t>“Campo 3. Dados da Obra/Serviço”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>, especificamente o endereço da obra/serviço;</w:t>
      </w:r>
    </w:p>
    <w:p w14:paraId="0E2AEC2C" w14:textId="77777777" w:rsidR="007367E5" w:rsidRPr="00FA0FE7" w:rsidRDefault="007367E5" w:rsidP="007367E5">
      <w:pPr>
        <w:pStyle w:val="PargrafodaLista"/>
        <w:numPr>
          <w:ilvl w:val="0"/>
          <w:numId w:val="37"/>
        </w:numPr>
        <w:suppressAutoHyphens w:val="0"/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Recomendar ao profissional requerente que, no ato da elaboração do novo RRT, utilize o </w:t>
      </w:r>
      <w:r w:rsidRPr="00E42108">
        <w:rPr>
          <w:rFonts w:asciiTheme="majorHAnsi" w:hAnsiTheme="majorHAnsi" w:cs="Times New Roman"/>
          <w:i/>
          <w:iCs/>
          <w:sz w:val="21"/>
          <w:szCs w:val="21"/>
          <w:lang w:val="pt-BR"/>
        </w:rPr>
        <w:t>“Campo 5. Descrição”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</w:t>
      </w:r>
      <w:r>
        <w:rPr>
          <w:rFonts w:asciiTheme="majorHAnsi" w:hAnsiTheme="majorHAnsi" w:cs="Times New Roman"/>
          <w:iCs/>
          <w:sz w:val="21"/>
          <w:szCs w:val="21"/>
          <w:lang w:val="pt-BR"/>
        </w:rPr>
        <w:t xml:space="preserve">para, mediante a inserção das informações pertinentes, realizar a vinculação do novo RRT ao RRT </w:t>
      </w:r>
      <w:r w:rsidRPr="00FA0FE7">
        <w:rPr>
          <w:rFonts w:asciiTheme="majorHAnsi" w:hAnsiTheme="majorHAnsi" w:cs="Times New Roman"/>
          <w:sz w:val="21"/>
          <w:szCs w:val="21"/>
          <w:lang w:val="pt-BR"/>
        </w:rPr>
        <w:t xml:space="preserve">n° </w:t>
      </w:r>
      <w:r w:rsidRPr="00FA0FE7">
        <w:rPr>
          <w:rFonts w:asciiTheme="majorHAnsi" w:eastAsia="Calibri" w:hAnsiTheme="majorHAnsi" w:cs="Times New Roman"/>
          <w:sz w:val="21"/>
          <w:szCs w:val="21"/>
          <w:lang w:val="pt-BR"/>
        </w:rPr>
        <w:t>0000009504379</w:t>
      </w:r>
      <w:r>
        <w:rPr>
          <w:rFonts w:asciiTheme="majorHAnsi" w:hAnsiTheme="majorHAnsi" w:cs="Times New Roman"/>
          <w:sz w:val="21"/>
          <w:szCs w:val="21"/>
          <w:lang w:val="pt-BR"/>
        </w:rPr>
        <w:t>, a fim de facilitar a análise a CAT-A, que deverá ser realizada pela equipe técnica do CAU/SP, dado o novo endereço de preenchimento da obra/serviço técnico, nos termos do Atestado de Capacidade Técnica apresentado;</w:t>
      </w:r>
    </w:p>
    <w:p w14:paraId="1FB305F7" w14:textId="77777777" w:rsidR="007367E5" w:rsidRPr="00B21808" w:rsidRDefault="007367E5" w:rsidP="007367E5">
      <w:pPr>
        <w:pStyle w:val="PargrafodaLista"/>
        <w:numPr>
          <w:ilvl w:val="0"/>
          <w:numId w:val="37"/>
        </w:numPr>
        <w:suppressAutoHyphens w:val="0"/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Facultar ao profissional requerente a apresentação de recurso ao Plenário desta Autarquia</w:t>
      </w:r>
      <w:r>
        <w:rPr>
          <w:rFonts w:asciiTheme="majorHAnsi" w:hAnsiTheme="majorHAnsi" w:cs="Times New Roman"/>
          <w:sz w:val="21"/>
          <w:szCs w:val="21"/>
          <w:lang w:val="pt-BR"/>
        </w:rPr>
        <w:t>, nos termos dos normativos vigentes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77140B6" w14:textId="77777777" w:rsidR="007367E5" w:rsidRPr="00B21808" w:rsidRDefault="007367E5" w:rsidP="007367E5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Encaminhar esta Deliberação à Presidência do CAU/MG, para conhecimento e remessa ao Setor Técnico, especificamente, Setor de Acervo Técnico do CAU/MG, para conhecimento e providências.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163113C4" w:rsidR="00C70894" w:rsidRPr="0000345C" w:rsidRDefault="00C7089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3D00E82" w:rsidR="00C70894" w:rsidRPr="0000345C" w:rsidRDefault="007367E5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A114E4" w:rsidRPr="0000345C" w14:paraId="3ACEBB8E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8A2172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Default="00513883" w:rsidP="00D55D3C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iCs/>
          <w:sz w:val="18"/>
          <w:lang w:val="pt-BR" w:eastAsia="pt-BR"/>
        </w:rPr>
        <w:t>Declaro, para os devidos fins de direito, que as informações acima ref</w:t>
      </w:r>
      <w:r w:rsidR="00C70894" w:rsidRPr="0000345C">
        <w:rPr>
          <w:rFonts w:asciiTheme="majorHAnsi" w:hAnsiTheme="majorHAnsi" w:cs="Arial"/>
          <w:iCs/>
          <w:sz w:val="18"/>
          <w:lang w:val="pt-BR" w:eastAsia="pt-BR"/>
        </w:rPr>
        <w:t>eridas são verdadeiras e dou fé, tendo sido aprovado o presente documento com a anuência dos membros da</w:t>
      </w:r>
      <w:r w:rsidR="00C70894"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Profissional.</w:t>
      </w:r>
    </w:p>
    <w:p w14:paraId="79F2558A" w14:textId="77777777" w:rsidR="0000345C" w:rsidRPr="0000345C" w:rsidRDefault="0000345C" w:rsidP="00D55D3C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lang w:val="pt-BR" w:eastAsia="pt-BR"/>
        </w:rPr>
      </w:pPr>
    </w:p>
    <w:p w14:paraId="7C578C61" w14:textId="77777777" w:rsidR="00C70894" w:rsidRPr="0000345C" w:rsidRDefault="00C70894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00345C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Ademir Nogueira De Ávila</w:t>
      </w:r>
    </w:p>
    <w:p w14:paraId="402EC193" w14:textId="6FB3F76B" w:rsidR="00C70894" w:rsidRPr="0000345C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Coordenador</w:t>
      </w:r>
    </w:p>
    <w:p w14:paraId="5CC508CE" w14:textId="7FD6A04E" w:rsidR="00C70894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Comissão de Exercício Profissional</w:t>
      </w:r>
    </w:p>
    <w:p w14:paraId="60C89986" w14:textId="77777777" w:rsid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AB69667" w14:textId="77777777" w:rsidR="0000345C" w:rsidRP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CEC4740" w14:textId="77777777" w:rsidR="00513883" w:rsidRPr="0000345C" w:rsidRDefault="00513883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00345C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Darlan Gonçalves de Oliveira</w:t>
      </w:r>
    </w:p>
    <w:p w14:paraId="4FDBD5DD" w14:textId="14DFB7B5" w:rsidR="00513883" w:rsidRPr="0000345C" w:rsidRDefault="00D55D3C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Arquiteto Analista – Assessor Técnico</w:t>
      </w:r>
    </w:p>
    <w:p w14:paraId="0BF66CC0" w14:textId="23391C91" w:rsidR="00513883" w:rsidRPr="0000345C" w:rsidRDefault="00513883" w:rsidP="007367E5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</w:t>
      </w:r>
    </w:p>
    <w:sectPr w:rsidR="00513883" w:rsidRPr="0000345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948F9" w14:textId="77777777" w:rsidR="00FC0DE9" w:rsidRDefault="00FC0DE9">
      <w:r>
        <w:separator/>
      </w:r>
    </w:p>
  </w:endnote>
  <w:endnote w:type="continuationSeparator" w:id="0">
    <w:p w14:paraId="5AE84A04" w14:textId="77777777" w:rsidR="00FC0DE9" w:rsidRDefault="00FC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1CB0E" w14:textId="77777777" w:rsidR="00FC0DE9" w:rsidRDefault="00FC0DE9">
      <w:r>
        <w:separator/>
      </w:r>
    </w:p>
  </w:footnote>
  <w:footnote w:type="continuationSeparator" w:id="0">
    <w:p w14:paraId="3915457C" w14:textId="77777777" w:rsidR="00FC0DE9" w:rsidRDefault="00FC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16C6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5619"/>
    <w:rsid w:val="008724F5"/>
    <w:rsid w:val="00880ED6"/>
    <w:rsid w:val="008B36A9"/>
    <w:rsid w:val="008D38A8"/>
    <w:rsid w:val="008D6C47"/>
    <w:rsid w:val="0092282D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53921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55D3C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987D-970A-43E6-AFD6-6AA335ED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</cp:revision>
  <cp:lastPrinted>2021-04-01T20:08:00Z</cp:lastPrinted>
  <dcterms:created xsi:type="dcterms:W3CDTF">2023-01-23T13:30:00Z</dcterms:created>
  <dcterms:modified xsi:type="dcterms:W3CDTF">2023-01-23T13:56:00Z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