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563"/>
        <w:gridCol w:w="3250"/>
      </w:tblGrid>
      <w:tr w:rsidR="002A57A5" w:rsidRPr="00AE5AE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21B59ED4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D923DB">
              <w:rPr>
                <w:rFonts w:asciiTheme="majorHAnsi" w:eastAsia="Calibri" w:hAnsiTheme="majorHAnsi" w:cs="Times New Roman"/>
                <w:b/>
                <w:lang w:val="pt-BR"/>
              </w:rPr>
              <w:t>200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AE5AE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483BDB87" w:rsidR="002A57A5" w:rsidRDefault="00D923DB" w:rsidP="00D923DB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21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novem</w:t>
            </w:r>
            <w:r w:rsid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bro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AE5AE8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34361698" w:rsidR="002A57A5" w:rsidRDefault="008E5A1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Sede do CAU/MG, Av. Getúlio Vargas, 447, 9° andar, Funcionários, Belo Horizonte/MG.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0F349C2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D923D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35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D923D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25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D923D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D923DB" w:rsidRPr="00F8363E" w14:paraId="6BD75A28" w14:textId="77777777" w:rsidTr="00D923D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D923DB" w:rsidRDefault="00D923DB" w:rsidP="00D923D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96E6FC6" w14:textId="6875BEB9" w:rsidR="00D923DB" w:rsidRPr="00B37AF7" w:rsidRDefault="00D923DB" w:rsidP="00D923DB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CC2E4FB" w14:textId="36E53E87" w:rsidR="00D923DB" w:rsidRPr="00B37AF7" w:rsidRDefault="00D923DB" w:rsidP="00D923D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6A528A5F" w14:textId="77777777" w:rsidTr="00D923D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AE5AE8" w14:paraId="7D2F614A" w14:textId="77777777" w:rsidTr="008E5A10">
        <w:trPr>
          <w:trHeight w:val="63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0549F2B6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592F43D4" w14:textId="30DCF05C" w:rsidR="007326CF" w:rsidRDefault="00BB7825" w:rsidP="00235782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D923DB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09h35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  <w:r w:rsidR="00235782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14:paraId="3FF38B2F" w14:textId="6B9BF5BD" w:rsidR="00235782" w:rsidRPr="00235782" w:rsidRDefault="00235782" w:rsidP="00235782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10"/>
                <w:szCs w:val="20"/>
                <w:lang w:val="pt-BR"/>
              </w:rPr>
            </w:pPr>
          </w:p>
        </w:tc>
      </w:tr>
      <w:tr w:rsidR="00BB7825" w:rsidRPr="00AE5AE8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825B532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6590E9C" w14:textId="4E6ACFF8" w:rsidR="00043280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3E428748" w14:textId="77777777" w:rsidR="00D923DB" w:rsidRPr="00272153" w:rsidRDefault="00D923DB" w:rsidP="00D923DB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Apreciação de recurso referente a solicitação de interrupção de Registro Profissional pessoa física, Protocolo SICCAU n° 466732/2017;</w:t>
            </w:r>
          </w:p>
          <w:p w14:paraId="194CBB83" w14:textId="77777777" w:rsidR="00D923DB" w:rsidRPr="00272153" w:rsidRDefault="00D923DB" w:rsidP="00D923DB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Apreciação de recurso referente a solicitação de interrupção de Registro Profissional pessoa física, Protocolo SICCAU n° 337807/2016;</w:t>
            </w:r>
          </w:p>
          <w:p w14:paraId="08319BA7" w14:textId="55369F42" w:rsidR="00965D92" w:rsidRPr="00823223" w:rsidRDefault="00965D92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3CA44481" w14:textId="77777777" w:rsidR="00D923DB" w:rsidRPr="00272153" w:rsidRDefault="00D923DB" w:rsidP="00D923DB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Encaminhamento, pela GEPLAN-CAU/MG, da 3ª Revisão do Plano de Ação para o Triênio 2021-2023;</w:t>
            </w:r>
          </w:p>
          <w:p w14:paraId="04E4E075" w14:textId="77777777" w:rsidR="00D923DB" w:rsidRPr="00272153" w:rsidRDefault="00D923DB" w:rsidP="00D923DB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Apreciação e manifestação sobre Memorando 046/2022, sobre os encaminhamentos de processos de fiscalização do exercício profissional para outros órgãos, Protocolo SICCAU n° 1637533/2022;</w:t>
            </w:r>
          </w:p>
          <w:p w14:paraId="5B83A8F1" w14:textId="77777777" w:rsidR="00D923DB" w:rsidRPr="00272153" w:rsidRDefault="00D923DB" w:rsidP="00D923DB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Memorando GEPLAN n° 06/2022: Listagem de Atividades profissionais fornecida pelo IEPHA, Protocolo SICCAU N° 1563053/2022;</w:t>
            </w:r>
          </w:p>
          <w:p w14:paraId="50865B1A" w14:textId="2EB8F23B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01B264ED" w:rsidR="00D564D8" w:rsidRPr="00D923DB" w:rsidRDefault="00D564D8" w:rsidP="00D923DB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</w:tc>
      </w:tr>
      <w:tr w:rsidR="00BB7825" w:rsidRPr="00AE5AE8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AE5AE8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7C800719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8E5A10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B949CB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D923D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 w:rsidR="008E5A10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AE5AE8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AE5AE8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68276C7" w14:textId="4E620CA5" w:rsidR="00980208" w:rsidRDefault="00980208" w:rsidP="0098020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julgados, na presente sessão, 14 (quatorze)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de Fiscalização,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7 (sete)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eles 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>apresentados pelo Cons. Ademir Nogueira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7 (sete)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923DB"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apresentados pelo Cons.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Moura,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nos termos do Extrato de Julgamento de Processos de Fiscalização elaborado pela Assessoria Técnica da CEP-CAU/MG.  </w:t>
            </w:r>
          </w:p>
          <w:p w14:paraId="77D80C15" w14:textId="3F2983DC" w:rsidR="000A0FF9" w:rsidRPr="00823223" w:rsidRDefault="000A0FF9" w:rsidP="00F81CB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AE5AE8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ECCBD47" w14:textId="1452FA89" w:rsidR="00980208" w:rsidRDefault="00980208" w:rsidP="00980208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1.1.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Foram emitidas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D923D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</w:t>
            </w:r>
            <w:r w:rsidR="00D923D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200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</w:t>
            </w:r>
            <w:r w:rsidRPr="003C01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D923D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14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referentes aos julgamentos </w:t>
            </w:r>
            <w:r w:rsidR="00D923DB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de Fiscalização, nos termos do Extrato 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Julgamento de Processos de Fiscalização elaborado pela Assessoria Técnica da CEP-CAU/MG. As deliberações foram encaminhadas à Presidência do CAU/MG, por meio do Sistema SICCAU, para remessa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ao Plenário do CAU/MG. O Extrato de Julgamento foi encaminhado para publicação no Portal da Transparência.</w:t>
            </w:r>
          </w:p>
          <w:p w14:paraId="36C26159" w14:textId="1892B23E" w:rsidR="00A12223" w:rsidRPr="00A07397" w:rsidRDefault="00A12223" w:rsidP="0023578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AE5AE8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AE5AE8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AE5AE8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55455D3" w14:textId="70B148F1" w:rsidR="00F81CB5" w:rsidRDefault="00F81CB5" w:rsidP="00F81CB5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Não foram distribuídos processos de fiscalização na presente sessão.</w:t>
            </w:r>
          </w:p>
          <w:p w14:paraId="34A7A2F2" w14:textId="3EF66004" w:rsidR="00ED3763" w:rsidRPr="00981C59" w:rsidRDefault="00ED3763" w:rsidP="00F81CB5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AE5AE8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107433DE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bookmarkEnd w:id="0"/>
      <w:tr w:rsidR="00A07397" w:rsidRPr="00AE5AE8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À</w:t>
            </w:r>
            <w:r w:rsidR="008E3C61"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AE5AE8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C0EBD2F" w14:textId="77777777" w:rsidR="00D923DB" w:rsidRPr="00D923DB" w:rsidRDefault="00D923DB" w:rsidP="00D923DB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20"/>
                <w:lang w:val="pt-BR"/>
              </w:rPr>
            </w:pPr>
          </w:p>
          <w:p w14:paraId="1BAF79A6" w14:textId="0E503692" w:rsidR="00823223" w:rsidRPr="00D923DB" w:rsidRDefault="00D923DB" w:rsidP="00D923DB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Não foram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discutidos assuntos relacionados à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fiscalização na presente sessão.</w:t>
            </w:r>
          </w:p>
          <w:p w14:paraId="4B106DC3" w14:textId="55EDF730" w:rsidR="00BB53F0" w:rsidRPr="00043280" w:rsidRDefault="00BB53F0" w:rsidP="00D923DB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AE5AE8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4C2B67FB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8F92DA0" w14:textId="5ACDDD9A" w:rsidR="00A70422" w:rsidRPr="000962B4" w:rsidRDefault="00D923DB" w:rsidP="00D923D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</w:p>
        </w:tc>
      </w:tr>
      <w:tr w:rsidR="005A1D65" w:rsidRPr="00AE5AE8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4FCC0C0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AE5AE8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AE5AE8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1AC3CDEB" w14:textId="764071EC" w:rsidR="00D923DB" w:rsidRDefault="00D923DB" w:rsidP="001C281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C281C">
              <w:rPr>
                <w:rFonts w:asciiTheme="majorHAnsi" w:hAnsiTheme="majorHAnsi"/>
                <w:sz w:val="20"/>
                <w:szCs w:val="21"/>
                <w:lang w:val="pt-BR"/>
              </w:rPr>
              <w:t>Apreciação de recurso referente a solicitação de interrupção de Registro Profissional pessoa física, Protocolo SICCAU n° 466732/2017;</w:t>
            </w:r>
          </w:p>
          <w:p w14:paraId="0B4D8B25" w14:textId="77777777" w:rsidR="001C281C" w:rsidRPr="001C281C" w:rsidRDefault="001C281C" w:rsidP="001C281C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apreciado recurso interposto pela requerente do processo em epígrafe, 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encaminhado por meio de mensagem eletrônica, em 31 de outubro de 2022, no qual declara ter realizado tentativas anteriores de interrupção do registro profissional junto ao CAU/MG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. Após análise e considerações, decidiu por a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colher as contrarrazões apresentadas </w:t>
            </w:r>
            <w:proofErr w:type="gramStart"/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pelo(</w:t>
            </w:r>
            <w:proofErr w:type="gramEnd"/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a) professional requerente,</w:t>
            </w:r>
            <w:r>
              <w:rPr>
                <w:rFonts w:asciiTheme="majorHAnsi" w:hAnsiTheme="majorHAnsi" w:cs="Arial"/>
                <w:color w:val="000000"/>
                <w:lang w:val="pt-BR"/>
              </w:rPr>
              <w:t xml:space="preserve"> 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devendo ser considerada a interrupção retroativa a 13 de outubro de 2016, data do primeiro contato da requerente com o CAU/MG;</w:t>
            </w:r>
          </w:p>
          <w:p w14:paraId="39531657" w14:textId="77777777" w:rsidR="001C281C" w:rsidRPr="001C281C" w:rsidRDefault="001C281C" w:rsidP="001C281C">
            <w:pPr>
              <w:spacing w:line="276" w:lineRule="auto"/>
              <w:rPr>
                <w:rFonts w:asciiTheme="majorHAnsi" w:hAnsiTheme="majorHAnsi"/>
                <w:sz w:val="10"/>
                <w:szCs w:val="21"/>
                <w:lang w:val="pt-BR"/>
              </w:rPr>
            </w:pPr>
          </w:p>
          <w:p w14:paraId="21DF68AC" w14:textId="77777777" w:rsidR="001C281C" w:rsidRPr="00272153" w:rsidRDefault="001C281C" w:rsidP="001C281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Apreciação de recurso referente a solicitação de interrupção de Registro Profissional pessoa física, Protocolo SICCAU n° 337807/2016;</w:t>
            </w:r>
          </w:p>
          <w:p w14:paraId="69FCB67C" w14:textId="25958DA6" w:rsidR="001C281C" w:rsidRPr="001C281C" w:rsidRDefault="001C281C" w:rsidP="00F81CB5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apreciado recurso interposto pela requerente do processo em epígrafe, 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encaminhado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pelo Setor de Negociações e Dívidas do CAU/MG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 no qual declara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requerente alega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ter realizado tentativas anteriores de interrupção do registro profissional junto ao CAU/MG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. Após análise e considerações, decidiu por a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colher as contrarrazões apresentadas pelo(a) professional requerente,</w:t>
            </w:r>
            <w:r>
              <w:rPr>
                <w:rFonts w:asciiTheme="majorHAnsi" w:hAnsiTheme="majorHAnsi" w:cs="Arial"/>
                <w:color w:val="000000"/>
                <w:lang w:val="pt-BR"/>
              </w:rPr>
              <w:t xml:space="preserve"> 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devendo ser considerada a interrupção retroativa a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20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de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janeiro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de 2016, data do primeiro contato da requerente com o CAU/MG;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AE5AE8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19C65D79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8123F10" w14:textId="30BA1B08" w:rsidR="00955C78" w:rsidRPr="001C281C" w:rsidRDefault="001C281C" w:rsidP="001C281C">
            <w:pPr>
              <w:pStyle w:val="PargrafodaLista"/>
              <w:numPr>
                <w:ilvl w:val="1"/>
                <w:numId w:val="31"/>
              </w:numPr>
              <w:ind w:hanging="45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Foi emitida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</w:t>
            </w:r>
            <w:r w:rsidRPr="001C281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200.</w:t>
            </w:r>
            <w:r w:rsidRPr="001C281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1C281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.1/2022 – DCEP-CAU/MG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referente à interrupção do Registro Profissional retroativa;</w:t>
            </w:r>
          </w:p>
          <w:p w14:paraId="4F089412" w14:textId="543FD3BD" w:rsidR="001C281C" w:rsidRPr="001C281C" w:rsidRDefault="001C281C" w:rsidP="001C281C">
            <w:pPr>
              <w:pStyle w:val="PargrafodaLista"/>
              <w:numPr>
                <w:ilvl w:val="1"/>
                <w:numId w:val="31"/>
              </w:numPr>
              <w:ind w:hanging="45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a </w:t>
            </w:r>
            <w:r w:rsidRPr="001C281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200.4.1/2022 – DCEP-CAU/MG</w:t>
            </w:r>
            <w:r w:rsidRPr="001C281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 referente à interrupção do Registro Profissional retroativa;</w:t>
            </w:r>
          </w:p>
          <w:p w14:paraId="1CD3EFC3" w14:textId="2486F283" w:rsidR="001C281C" w:rsidRPr="00B30203" w:rsidRDefault="001C281C" w:rsidP="001C281C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AE5AE8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1F0A40DA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3E0DEE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09587A72" w14:textId="0062C9E4" w:rsidR="00013820" w:rsidRDefault="00013820" w:rsidP="008279A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Encaminhamento, pela GEPLAN-CAU/MG, da 3ª Revisão do Plano de Ação para o Triênio 2021-2023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t>:</w:t>
            </w:r>
          </w:p>
          <w:p w14:paraId="68E7D61D" w14:textId="7C7D0E0D" w:rsidR="00013820" w:rsidRPr="00013820" w:rsidRDefault="00013820" w:rsidP="008279A5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 xml:space="preserve">Foi solicitado ao Assessor Técnico da Comissão o levantamento dos dados referentes à </w:t>
            </w: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3ª Revisão do Plano de Ação para o Triênio 2021-2023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t xml:space="preserve">, para apreciação e aprovação pela CEP-CAU/MG em sua próxima reunião ordinária, designada para 05/12/2022; </w:t>
            </w:r>
          </w:p>
          <w:p w14:paraId="4F318976" w14:textId="0C196EAF" w:rsidR="00013820" w:rsidRDefault="00013820" w:rsidP="008279A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Apreciação e manifestação sobre Memorando 046/2022, sobre os encaminhamentos de processos de fiscalização do exercício profissional para outros órgãos, Protocolo SICCAU n° 1637533/2022</w:t>
            </w:r>
            <w:r w:rsidR="008279A5">
              <w:rPr>
                <w:rFonts w:asciiTheme="majorHAnsi" w:hAnsiTheme="majorHAnsi"/>
                <w:sz w:val="20"/>
                <w:szCs w:val="21"/>
                <w:lang w:val="pt-BR"/>
              </w:rPr>
              <w:t>:</w:t>
            </w:r>
          </w:p>
          <w:p w14:paraId="62471C1F" w14:textId="6E0796A6" w:rsidR="008279A5" w:rsidRPr="008279A5" w:rsidRDefault="008279A5" w:rsidP="008279A5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 xml:space="preserve">Foi apreciado o conteúdo do Memorando 046/2022 e após consulta ao Gerente Jurídico 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lastRenderedPageBreak/>
              <w:t>do CAU/MG, os membros da Comissão decidiram por alterar o procedimento de encaminhado de processos de fiscalização a outros órgãos da Administração, em especial ao Ministério Público. Deverão ser encaminhados ao</w:t>
            </w:r>
            <w:r w:rsidRPr="008279A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Ministério Público, por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1"/>
                <w:lang w:val="pt-BR"/>
              </w:rPr>
              <w:t>indícios</w:t>
            </w:r>
            <w:proofErr w:type="spellEnd"/>
            <w:r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de contravenção penal, apenas </w:t>
            </w:r>
            <w:r w:rsidRPr="008279A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os casos em que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1"/>
                <w:lang w:val="pt-BR"/>
              </w:rPr>
              <w:t>restar</w:t>
            </w:r>
            <w:proofErr w:type="spellEnd"/>
            <w:r w:rsidRPr="008279A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1"/>
                <w:lang w:val="pt-BR"/>
              </w:rPr>
              <w:t>configurado</w:t>
            </w:r>
            <w:proofErr w:type="spellEnd"/>
            <w:r w:rsidRPr="008279A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o exercício de atividade econômica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t>;</w:t>
            </w:r>
          </w:p>
          <w:p w14:paraId="3A7356C6" w14:textId="77777777" w:rsidR="00013820" w:rsidRPr="00272153" w:rsidRDefault="00013820" w:rsidP="008279A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272153">
              <w:rPr>
                <w:rFonts w:asciiTheme="majorHAnsi" w:hAnsiTheme="majorHAnsi"/>
                <w:sz w:val="20"/>
                <w:szCs w:val="21"/>
                <w:lang w:val="pt-BR"/>
              </w:rPr>
              <w:t>Memorando GEPLAN n° 06/2022: Listagem de Atividades profissionais fornecida pelo IEPHA, Protocolo SICCAU N° 1563053/2022;</w:t>
            </w:r>
          </w:p>
          <w:p w14:paraId="2F08FD78" w14:textId="16BCF485" w:rsidR="008279A5" w:rsidRPr="008279A5" w:rsidRDefault="008279A5" w:rsidP="008279A5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 da matéria, a Comissão decidiu por s</w:t>
            </w: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olicitar à Gerencia de Planejamento Estratégico GEPLAN-CAU/MG, pelo encaminhamento ao IEPHA do arquivo atualizado (planilha eletrônica) referente à “Listagem de atividades de intervenção em bens ou áreas protegidas em âmbito estadual autorizadas ou acompanhadas pela Diretoria de Conservação e Restauração”, com o esclarecimento de que o arquivo anteriormente anexado à Deliberação DCEP-CAU/MG n° 197.5.3/2022 estava incorreto;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3E0DEE" w14:paraId="6D440244" w14:textId="77777777" w:rsidTr="003E0DEE">
        <w:trPr>
          <w:trHeight w:val="27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763369B9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2FB554D6" w14:textId="0B31B7EF" w:rsidR="00823223" w:rsidRDefault="00D01DD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01382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Não foi emitida deliberação sobre a matéria;</w:t>
            </w:r>
          </w:p>
          <w:p w14:paraId="71791871" w14:textId="07E2EB7F" w:rsidR="00013820" w:rsidRDefault="00013820" w:rsidP="0001382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5.2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8279A5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5.2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aprova </w:t>
            </w:r>
            <w:r w:rsidR="008279A5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alteração de procedimentos nos processos de fiscalização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e foi remetida à Presidência por meio do Protocolo SICCAU, para conhecimento e encaminhamentos;</w:t>
            </w:r>
          </w:p>
          <w:p w14:paraId="6D9B14C7" w14:textId="5F3EFE3A" w:rsidR="00013820" w:rsidRPr="008279A5" w:rsidRDefault="00013820" w:rsidP="008279A5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5.3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8279A5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5.3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8279A5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solicita encaminhamento de informações ao IEPHA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e foi remetida à Presidência por meio do Protocolo SICCAU, para conhecimento e encaminhamentos;</w:t>
            </w:r>
          </w:p>
          <w:p w14:paraId="4CA83D49" w14:textId="7FCE7D99" w:rsidR="003E0DEE" w:rsidRPr="00B30203" w:rsidRDefault="003E0DEE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3E0DEE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07796554" w14:textId="4D9B1DE7" w:rsidR="003E0DEE" w:rsidRDefault="008279A5" w:rsidP="008279A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reunião extraordinária</w:t>
            </w:r>
            <w:r w:rsidR="003E0DEE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6F5693F" w14:textId="77777777" w:rsidR="008279A5" w:rsidRPr="008279A5" w:rsidRDefault="008279A5" w:rsidP="008279A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Solicitar à Presidência do CAU/MG que autorize a realização de reunião extraordinária com a finalidade específica de proceder com o julgamento de Processos de Fiscalização pendentes junto à Comissão de Exercício Profissional – CEP-CAU/MG, em formato presencial, a ser realizada no dia 07 de dezembro de 2022.</w:t>
            </w:r>
          </w:p>
          <w:p w14:paraId="57310F12" w14:textId="271C9EA9" w:rsidR="003E0DEE" w:rsidRDefault="008279A5" w:rsidP="008279A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Alteração de procedimento de Interrupção de Registro Profissional</w:t>
            </w:r>
            <w:r w:rsidR="003E0DEE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BB56C51" w14:textId="77777777" w:rsidR="008279A5" w:rsidRPr="008279A5" w:rsidRDefault="008279A5" w:rsidP="008279A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Aprovar a alteração da Deliberação DCEP-CAU/MG n° 149.5/2019, que fixa procedimentos para alterações de registro profissional de pessoas físicas no âmbito do CAU/MG, por meio da dispensa da exigência do envio da Declaração formal de inatividade profissional de que trata o Art. 3° da supracitada Deliberação;</w:t>
            </w:r>
          </w:p>
          <w:p w14:paraId="45091DB5" w14:textId="77777777" w:rsidR="00623E42" w:rsidRDefault="00623E42" w:rsidP="008279A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elaboração de relatórios para os processos administrativos de fiscalização no CAU/MG:</w:t>
            </w:r>
          </w:p>
          <w:p w14:paraId="5D24DF87" w14:textId="77777777" w:rsidR="008279A5" w:rsidRPr="008279A5" w:rsidRDefault="008279A5" w:rsidP="008279A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Solicitar da Gerência Jurídica – GERJUR-CAU/MG, a elaboração de Parecer Jurídico com os devidos esclarecimentos sobre os limites das competências e atribuições do Conselheiro Relator e da Assessoria Técnica da Comissão de Exercício Profissional – CEP-CAU/MG, especificamente ao que se refere à produção de Relatório e Voto para os Processos de Fiscalização, a fim de que tenha maior segurança jurídica na proposição de uma nova metodologia de análise e julgamento desses processos, dada a urgente necessidade de obtenção de maior celeridade no seu julgamento em razão da grande demanda existente.</w:t>
            </w:r>
          </w:p>
          <w:p w14:paraId="1FCFFF01" w14:textId="7BFAB553" w:rsidR="003E0DEE" w:rsidRDefault="008279A5" w:rsidP="008279A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Consulta acerca de competências e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atribuições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Conselheiros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CAU/MG para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relatoria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voto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processos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oriundos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Comissões</w:t>
            </w:r>
            <w:proofErr w:type="spellEnd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diversas</w:t>
            </w:r>
            <w:proofErr w:type="spellEnd"/>
          </w:p>
          <w:p w14:paraId="7A12ED40" w14:textId="66868365" w:rsidR="003E0DEE" w:rsidRPr="008279A5" w:rsidRDefault="008279A5" w:rsidP="008279A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Solicitar da Gerência Jurídica – GERJUR-CAU/MG, a elaboração de Parecer Jurídico com os devidos esclarecimentos sobre os limites das competências e atribuições, nos termos do Regimento Interno do CAU/MG, para que os Conselheiros do CAU/MG que não constituem a Comissão de Exercício Profissional – CEP-CAU/MG, possam produzir Relatório e Voto para os Processos de Fiscalização, a fim de que tenha maior segurança jurídica na proposição de uma nova metodologia de análise e julgamento desses processos, dada a urgente necessidade de obtenção de maior celeridade no seu julgamento em razão da grande demanda existente.</w:t>
            </w:r>
          </w:p>
        </w:tc>
      </w:tr>
      <w:tr w:rsidR="008E3C61" w:rsidRPr="00623E42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13B4E05D" w14:textId="552B71C3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6.1.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347D4F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="00347D4F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6.1</w:t>
            </w:r>
            <w:r w:rsidR="00347D4F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347D4F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347D4F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347D4F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solicita agendamento de reunião extraordinária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, e foi re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metida à Presidência por meio de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47D4F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Protocolo SICCAU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encaminhamentos;</w:t>
            </w:r>
          </w:p>
          <w:p w14:paraId="0979BD1A" w14:textId="7235F09B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6.2.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aprova alteração de procedimento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foi remetida à Presidência por meio de </w:t>
            </w:r>
            <w:r w:rsidR="00347D4F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Protocolo SICCAU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encaminhamentos;</w:t>
            </w:r>
          </w:p>
          <w:p w14:paraId="35E50792" w14:textId="43F01B6E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6.3.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</w:t>
            </w:r>
            <w:r w:rsidR="00252434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solicita parecer jurídico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foi remetida à Presidência por meio de </w:t>
            </w:r>
            <w:r w:rsidR="00347D4F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Protocolo SICCAU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encaminhamentos;</w:t>
            </w:r>
          </w:p>
          <w:p w14:paraId="2A4374D5" w14:textId="29414B76" w:rsidR="008279A5" w:rsidRDefault="008279A5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6.4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solicita parecer jurídico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foi remetida à Presidência por meio de </w:t>
            </w:r>
            <w:r w:rsidR="00347D4F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Protocolo SICCAU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encaminhamentos;</w:t>
            </w:r>
          </w:p>
          <w:p w14:paraId="0DEF9778" w14:textId="0A529D2D" w:rsidR="00FF5305" w:rsidRPr="00A07397" w:rsidRDefault="00FF5305" w:rsidP="008279A5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AE5AE8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32CD604E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821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não houve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10B5D44B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821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AE5AE8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141476D8" w:rsidR="00E70A6D" w:rsidRPr="00306DC0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37F97048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0BF458A5" w:rsidR="00E70A6D" w:rsidRDefault="00347D4F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:rsidRPr="00EC331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2279D" w14:textId="77777777" w:rsidR="00EB7784" w:rsidRDefault="00EB7784">
      <w:r>
        <w:separator/>
      </w:r>
    </w:p>
  </w:endnote>
  <w:endnote w:type="continuationSeparator" w:id="0">
    <w:p w14:paraId="597D9486" w14:textId="77777777" w:rsidR="00EB7784" w:rsidRDefault="00EB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424C5" w14:textId="77777777" w:rsidR="00EB7784" w:rsidRDefault="00EB7784">
      <w:r>
        <w:separator/>
      </w:r>
    </w:p>
  </w:footnote>
  <w:footnote w:type="continuationSeparator" w:id="0">
    <w:p w14:paraId="1BA0930A" w14:textId="77777777" w:rsidR="00EB7784" w:rsidRDefault="00EB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69054B"/>
    <w:multiLevelType w:val="multilevel"/>
    <w:tmpl w:val="7BCCC584"/>
    <w:lvl w:ilvl="0">
      <w:start w:val="1"/>
      <w:numFmt w:val="decimal"/>
      <w:lvlText w:val="%1."/>
      <w:lvlJc w:val="left"/>
      <w:pPr>
        <w:ind w:left="435" w:hanging="43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color w:val="auto"/>
      </w:r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A4E05"/>
    <w:multiLevelType w:val="multilevel"/>
    <w:tmpl w:val="D9505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23"/>
  </w:num>
  <w:num w:numId="5">
    <w:abstractNumId w:val="10"/>
  </w:num>
  <w:num w:numId="6">
    <w:abstractNumId w:val="17"/>
  </w:num>
  <w:num w:numId="7">
    <w:abstractNumId w:val="6"/>
  </w:num>
  <w:num w:numId="8">
    <w:abstractNumId w:val="22"/>
  </w:num>
  <w:num w:numId="9">
    <w:abstractNumId w:val="9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3"/>
  </w:num>
  <w:num w:numId="15">
    <w:abstractNumId w:val="5"/>
  </w:num>
  <w:num w:numId="16">
    <w:abstractNumId w:val="26"/>
  </w:num>
  <w:num w:numId="17">
    <w:abstractNumId w:val="1"/>
  </w:num>
  <w:num w:numId="18">
    <w:abstractNumId w:val="20"/>
  </w:num>
  <w:num w:numId="19">
    <w:abstractNumId w:val="15"/>
  </w:num>
  <w:num w:numId="20">
    <w:abstractNumId w:val="27"/>
  </w:num>
  <w:num w:numId="21">
    <w:abstractNumId w:val="16"/>
  </w:num>
  <w:num w:numId="22">
    <w:abstractNumId w:val="24"/>
  </w:num>
  <w:num w:numId="23">
    <w:abstractNumId w:val="12"/>
  </w:num>
  <w:num w:numId="24">
    <w:abstractNumId w:val="0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4"/>
  </w:num>
  <w:num w:numId="30">
    <w:abstractNumId w:val="4"/>
  </w:num>
  <w:num w:numId="31">
    <w:abstractNumId w:val="2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17E4"/>
    <w:rsid w:val="00013820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5A5"/>
    <w:rsid w:val="00042ECB"/>
    <w:rsid w:val="00043280"/>
    <w:rsid w:val="00074F63"/>
    <w:rsid w:val="00084D7A"/>
    <w:rsid w:val="0009353C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488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618BE"/>
    <w:rsid w:val="001722E0"/>
    <w:rsid w:val="0017578F"/>
    <w:rsid w:val="00184FEF"/>
    <w:rsid w:val="001861C5"/>
    <w:rsid w:val="00190F12"/>
    <w:rsid w:val="00192F7D"/>
    <w:rsid w:val="0019787D"/>
    <w:rsid w:val="001A4779"/>
    <w:rsid w:val="001B4C81"/>
    <w:rsid w:val="001C281C"/>
    <w:rsid w:val="001C5F97"/>
    <w:rsid w:val="001D1B93"/>
    <w:rsid w:val="001F22F3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35782"/>
    <w:rsid w:val="00243744"/>
    <w:rsid w:val="00252434"/>
    <w:rsid w:val="002978BD"/>
    <w:rsid w:val="002A525F"/>
    <w:rsid w:val="002A57A5"/>
    <w:rsid w:val="002C216D"/>
    <w:rsid w:val="002D56F8"/>
    <w:rsid w:val="002E6385"/>
    <w:rsid w:val="002E77DE"/>
    <w:rsid w:val="002F4CD8"/>
    <w:rsid w:val="00306DC0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47D4F"/>
    <w:rsid w:val="003526E8"/>
    <w:rsid w:val="003574F9"/>
    <w:rsid w:val="00361AD3"/>
    <w:rsid w:val="003671C4"/>
    <w:rsid w:val="0037114A"/>
    <w:rsid w:val="00377C90"/>
    <w:rsid w:val="00382115"/>
    <w:rsid w:val="00384E21"/>
    <w:rsid w:val="00391DF6"/>
    <w:rsid w:val="003A1FCD"/>
    <w:rsid w:val="003C1025"/>
    <w:rsid w:val="003D67E5"/>
    <w:rsid w:val="003E0DEE"/>
    <w:rsid w:val="003F238D"/>
    <w:rsid w:val="00400BE8"/>
    <w:rsid w:val="0040101C"/>
    <w:rsid w:val="004019BC"/>
    <w:rsid w:val="00410824"/>
    <w:rsid w:val="00415641"/>
    <w:rsid w:val="0042294A"/>
    <w:rsid w:val="00435DED"/>
    <w:rsid w:val="0044192A"/>
    <w:rsid w:val="00443CEA"/>
    <w:rsid w:val="004501B8"/>
    <w:rsid w:val="00464360"/>
    <w:rsid w:val="004645DC"/>
    <w:rsid w:val="00471431"/>
    <w:rsid w:val="00475E5D"/>
    <w:rsid w:val="00481423"/>
    <w:rsid w:val="004A432D"/>
    <w:rsid w:val="004A5592"/>
    <w:rsid w:val="004A65CC"/>
    <w:rsid w:val="004B2A41"/>
    <w:rsid w:val="004C3188"/>
    <w:rsid w:val="004C4D47"/>
    <w:rsid w:val="004E5095"/>
    <w:rsid w:val="005202A3"/>
    <w:rsid w:val="005254F1"/>
    <w:rsid w:val="00544B65"/>
    <w:rsid w:val="0055266E"/>
    <w:rsid w:val="005535F8"/>
    <w:rsid w:val="00554EC4"/>
    <w:rsid w:val="005573A3"/>
    <w:rsid w:val="0058091D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23E42"/>
    <w:rsid w:val="00637067"/>
    <w:rsid w:val="00652A26"/>
    <w:rsid w:val="00655AD6"/>
    <w:rsid w:val="0066517D"/>
    <w:rsid w:val="00675FC1"/>
    <w:rsid w:val="00686D15"/>
    <w:rsid w:val="00692726"/>
    <w:rsid w:val="0069755D"/>
    <w:rsid w:val="006B1141"/>
    <w:rsid w:val="006B42D0"/>
    <w:rsid w:val="006B6454"/>
    <w:rsid w:val="006B6D8F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84563"/>
    <w:rsid w:val="0079491D"/>
    <w:rsid w:val="007958C6"/>
    <w:rsid w:val="007A22B7"/>
    <w:rsid w:val="007B000B"/>
    <w:rsid w:val="007B5991"/>
    <w:rsid w:val="007B6EE8"/>
    <w:rsid w:val="007C1C31"/>
    <w:rsid w:val="007C4298"/>
    <w:rsid w:val="007C5270"/>
    <w:rsid w:val="007F1BD0"/>
    <w:rsid w:val="007F4075"/>
    <w:rsid w:val="007F59F4"/>
    <w:rsid w:val="007F6D70"/>
    <w:rsid w:val="00800C01"/>
    <w:rsid w:val="00805D2F"/>
    <w:rsid w:val="008169CE"/>
    <w:rsid w:val="00823223"/>
    <w:rsid w:val="008274CC"/>
    <w:rsid w:val="008279A5"/>
    <w:rsid w:val="00827AA5"/>
    <w:rsid w:val="00841D12"/>
    <w:rsid w:val="00845619"/>
    <w:rsid w:val="00846D3E"/>
    <w:rsid w:val="0084790C"/>
    <w:rsid w:val="00851F49"/>
    <w:rsid w:val="0085498E"/>
    <w:rsid w:val="008724F5"/>
    <w:rsid w:val="00891ED4"/>
    <w:rsid w:val="008A54D4"/>
    <w:rsid w:val="008B4E91"/>
    <w:rsid w:val="008B5E0B"/>
    <w:rsid w:val="008B6415"/>
    <w:rsid w:val="008B7B28"/>
    <w:rsid w:val="008C6FE0"/>
    <w:rsid w:val="008D2CC0"/>
    <w:rsid w:val="008D5A32"/>
    <w:rsid w:val="008D6C47"/>
    <w:rsid w:val="008E10F4"/>
    <w:rsid w:val="008E3531"/>
    <w:rsid w:val="008E3B96"/>
    <w:rsid w:val="008E3C61"/>
    <w:rsid w:val="008E5A10"/>
    <w:rsid w:val="008E691D"/>
    <w:rsid w:val="008F6E9F"/>
    <w:rsid w:val="00901AC9"/>
    <w:rsid w:val="00904DD2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0208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7397"/>
    <w:rsid w:val="00A07485"/>
    <w:rsid w:val="00A12223"/>
    <w:rsid w:val="00A26A12"/>
    <w:rsid w:val="00A27652"/>
    <w:rsid w:val="00A33CB1"/>
    <w:rsid w:val="00A3576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5AE8"/>
    <w:rsid w:val="00AE7B6E"/>
    <w:rsid w:val="00B10E1D"/>
    <w:rsid w:val="00B26BE0"/>
    <w:rsid w:val="00B30203"/>
    <w:rsid w:val="00B343D6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5259B"/>
    <w:rsid w:val="00C6352D"/>
    <w:rsid w:val="00C700F8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564D8"/>
    <w:rsid w:val="00D66B18"/>
    <w:rsid w:val="00D90689"/>
    <w:rsid w:val="00D923DB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70A6D"/>
    <w:rsid w:val="00E75375"/>
    <w:rsid w:val="00E81C98"/>
    <w:rsid w:val="00E9616C"/>
    <w:rsid w:val="00EB7784"/>
    <w:rsid w:val="00EC722C"/>
    <w:rsid w:val="00ED0D78"/>
    <w:rsid w:val="00ED3763"/>
    <w:rsid w:val="00F00BA5"/>
    <w:rsid w:val="00F0513A"/>
    <w:rsid w:val="00F11E8A"/>
    <w:rsid w:val="00F15852"/>
    <w:rsid w:val="00F17FA6"/>
    <w:rsid w:val="00F36FB0"/>
    <w:rsid w:val="00F416E8"/>
    <w:rsid w:val="00F460F0"/>
    <w:rsid w:val="00F64A1C"/>
    <w:rsid w:val="00F7051B"/>
    <w:rsid w:val="00F81CB5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1D24-40AD-48B0-B64D-5E4809D1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4</Pages>
  <Words>1741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84</cp:revision>
  <cp:lastPrinted>2021-06-25T13:35:00Z</cp:lastPrinted>
  <dcterms:created xsi:type="dcterms:W3CDTF">2021-04-20T11:43:00Z</dcterms:created>
  <dcterms:modified xsi:type="dcterms:W3CDTF">2023-03-10T17:58:00Z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