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AE5AE8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46184CCB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Pr="008E5A10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8E5A10" w:rsidRPr="008E5A10">
              <w:rPr>
                <w:rFonts w:asciiTheme="majorHAnsi" w:eastAsia="Calibri" w:hAnsiTheme="majorHAnsi" w:cs="Times New Roman"/>
                <w:b/>
                <w:lang w:val="pt-BR"/>
              </w:rPr>
              <w:t>98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AE5AE8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4BB3542B" w:rsidR="002A57A5" w:rsidRDefault="008E5A10" w:rsidP="008E5A10">
            <w:pPr>
              <w:suppressLineNumbers/>
              <w:jc w:val="both"/>
            </w:pPr>
            <w:r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24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outubro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AE5AE8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34361698" w:rsidR="002A57A5" w:rsidRDefault="008E5A1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Sede do CAU/MG, Av. Getúlio Vargas, 447, 9° andar, Funcionários, Belo Horizonte/MG.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619ADB7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8E5A10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47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8E5A10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05</w:t>
            </w:r>
            <w:r w:rsidR="007958C6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438D9E77" w:rsidR="00074F63" w:rsidRPr="00B37AF7" w:rsidRDefault="00E70A6D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70A6D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Luciana Bracarense Coimbra</w:t>
            </w:r>
            <w:r w:rsidR="00235782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235782" w:rsidRPr="00235782">
              <w:rPr>
                <w:rFonts w:asciiTheme="majorHAnsi" w:eastAsia="Calibri" w:hAnsiTheme="majorHAnsi" w:cs="Times New Roman"/>
                <w:i/>
                <w:sz w:val="18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70A35AB7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d. Adjunt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Colmanetti</w:t>
            </w:r>
            <w:proofErr w:type="spellEnd"/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23E34E1D" w:rsidR="00074F63" w:rsidRPr="00B37AF7" w:rsidRDefault="00E70A6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B6071E" w:rsidRPr="000B24B8" w14:paraId="5C492F34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19826C2" w14:textId="77777777" w:rsidR="00B6071E" w:rsidRDefault="00B6071E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35139C58" w14:textId="14465B27" w:rsidR="00B6071E" w:rsidRPr="00B37AF7" w:rsidRDefault="00B6071E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Tadeu Araújo Santos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61BAD4" w14:textId="7020B29B" w:rsidR="00B6071E" w:rsidRPr="00B37AF7" w:rsidRDefault="00B6071E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 Técnico</w:t>
            </w:r>
          </w:p>
        </w:tc>
      </w:tr>
      <w:tr w:rsidR="00074F63" w:rsidRPr="000B24B8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3C993547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Rodrigues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AE5AE8" w14:paraId="7D2F614A" w14:textId="77777777" w:rsidTr="008E5A10">
        <w:trPr>
          <w:trHeight w:val="63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0549F2B6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592F43D4" w14:textId="6A2DA6D4" w:rsidR="007326CF" w:rsidRDefault="00BB7825" w:rsidP="00235782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8E5A10" w:rsidRPr="008E5A1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09h47</w:t>
            </w:r>
            <w:r w:rsidRPr="00471431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  <w:r w:rsidR="00235782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 Registramos na presente súmula que, embora tenha registrado sua justificativa de ausência para esta sessão, a Conselheira Luciana Bracarense Coimbra participou da reunião, por meio virtual, durante o turno da tarde.</w:t>
            </w:r>
          </w:p>
          <w:p w14:paraId="3FF38B2F" w14:textId="6B9BF5BD" w:rsidR="00235782" w:rsidRPr="00235782" w:rsidRDefault="00235782" w:rsidP="00235782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10"/>
                <w:szCs w:val="20"/>
                <w:lang w:val="pt-BR"/>
              </w:rPr>
            </w:pPr>
          </w:p>
        </w:tc>
      </w:tr>
      <w:tr w:rsidR="00BB7825" w:rsidRPr="00AE5AE8" w14:paraId="5DE43FC3" w14:textId="77777777" w:rsidTr="00DA4678">
        <w:trPr>
          <w:trHeight w:val="2819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825B532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8A54D4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1B6647DB" w14:textId="77777777" w:rsidR="008E5A10" w:rsidRPr="008E5A10" w:rsidRDefault="008E5A10" w:rsidP="008E5A1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Evolução da regularidade dos editais:</w:t>
            </w:r>
          </w:p>
          <w:p w14:paraId="3DDF5428" w14:textId="77777777" w:rsidR="008E5A10" w:rsidRPr="008E5A10" w:rsidRDefault="008E5A10" w:rsidP="008E5A1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Atribuições profissionais deliberadas pelo CEP-CAU/BR; </w:t>
            </w:r>
          </w:p>
          <w:p w14:paraId="3BAC53D4" w14:textId="77777777" w:rsidR="008E5A10" w:rsidRPr="008E5A10" w:rsidRDefault="008E5A10" w:rsidP="008E5A1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Alteração Nota de fiscalização; </w:t>
            </w:r>
          </w:p>
          <w:p w14:paraId="5D18C8ED" w14:textId="77777777" w:rsidR="008E5A10" w:rsidRPr="008E5A10" w:rsidRDefault="008E5A10" w:rsidP="008E5A1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Memorando GERTEF nº 023/2022: item i- "em fiscalização de rotina para ausência de registro de pessoa jurídica, como devemos tratar as empresas que possuem registro inativo no CREA-MG";</w:t>
            </w:r>
          </w:p>
          <w:p w14:paraId="1AE10EEE" w14:textId="77777777" w:rsidR="008E5A10" w:rsidRPr="008E5A10" w:rsidRDefault="008E5A10" w:rsidP="008E5A1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Denúncia 1589607/2022: violação de direito autoral por proprietário;</w:t>
            </w:r>
          </w:p>
          <w:p w14:paraId="3A1038F8" w14:textId="71987C2C" w:rsidR="008E5A10" w:rsidRPr="008E5A10" w:rsidRDefault="008E5A10" w:rsidP="008E5A1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Protocolo 1605025/2022: indícios de infração ético-disciplinar.</w:t>
            </w:r>
          </w:p>
          <w:p w14:paraId="06590E9C" w14:textId="4E6ACFF8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08319BA7" w14:textId="55369F42" w:rsidR="00965D92" w:rsidRPr="00823223" w:rsidRDefault="00965D92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20D6E4E5" w14:textId="1830A44C" w:rsidR="008E5A10" w:rsidRPr="008E5A10" w:rsidRDefault="008E5A10" w:rsidP="008E5A10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do Ofício n° 002/2022, da Secretaria de Regulação Urbana, da Prefeitura Municipal de Itaúna, que trata de resposta a questionamento desta CEP-CAU/MG acerca de atendimento técnico realizado por profissional não habilitado, Protocolo SICCAU n° 1611924/2022; </w:t>
            </w:r>
          </w:p>
          <w:p w14:paraId="50865B1A" w14:textId="2EB8F23B" w:rsidR="00043280" w:rsidRPr="00823223" w:rsidRDefault="00043280" w:rsidP="008A54D4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2D226682" w14:textId="77777777" w:rsidR="00043280" w:rsidRDefault="008A54D4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Apreciaçã</w:t>
            </w:r>
            <w:r w:rsidR="00D564D8">
              <w:rPr>
                <w:rFonts w:asciiTheme="majorHAnsi" w:hAnsiTheme="majorHAnsi"/>
                <w:sz w:val="20"/>
                <w:szCs w:val="20"/>
                <w:lang w:val="pt-BR"/>
              </w:rPr>
              <w:t>o do tutorial para solicitação de descontos de pessoa física junto ao CAU/MG;</w:t>
            </w:r>
          </w:p>
          <w:p w14:paraId="6B5D7ACB" w14:textId="7CB63A24" w:rsidR="00D564D8" w:rsidRDefault="00D564D8" w:rsidP="008A54D4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Solicitação de agendamento de reunião extraordinária para a CEP-CAU/MG;</w:t>
            </w:r>
          </w:p>
          <w:p w14:paraId="022C4A29" w14:textId="77777777" w:rsidR="00D564D8" w:rsidRDefault="00D564D8" w:rsidP="00D564D8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necessidades de adequação na montagem dos processos administrativos de fiscalização;</w:t>
            </w:r>
          </w:p>
          <w:p w14:paraId="2BFD7F50" w14:textId="77777777" w:rsidR="00D564D8" w:rsidRDefault="00D564D8" w:rsidP="00D564D8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encaminhamentos dados aos processos administrativos de fiscalização no CAU/MG;</w:t>
            </w:r>
          </w:p>
          <w:p w14:paraId="33D68C2D" w14:textId="3C2C2D33" w:rsidR="00D564D8" w:rsidRDefault="00D564D8" w:rsidP="00D564D8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elaboração de relatórios para os processos administrativos de fiscalização no CAU/MG</w:t>
            </w:r>
            <w:r w:rsidR="003E0DEE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32EA3446" w14:textId="01B264ED" w:rsidR="00D564D8" w:rsidRPr="00D564D8" w:rsidRDefault="00D564D8" w:rsidP="00D564D8">
            <w:pPr>
              <w:suppressAutoHyphens w:val="0"/>
              <w:spacing w:line="276" w:lineRule="auto"/>
              <w:ind w:left="360"/>
              <w:rPr>
                <w:rFonts w:asciiTheme="majorHAnsi" w:hAnsiTheme="majorHAnsi"/>
                <w:sz w:val="10"/>
                <w:szCs w:val="20"/>
                <w:lang w:val="pt-BR"/>
              </w:rPr>
            </w:pPr>
          </w:p>
        </w:tc>
      </w:tr>
      <w:tr w:rsidR="00BB7825" w:rsidRPr="00AE5AE8" w14:paraId="2C53EF2C" w14:textId="77777777" w:rsidTr="00DA4678">
        <w:trPr>
          <w:trHeight w:val="736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965D92" w:rsidRDefault="00AC7117" w:rsidP="00111A5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FF5305" w:rsidRPr="00FF5305" w:rsidRDefault="00FF5305" w:rsidP="00FF5305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AE5AE8" w14:paraId="38591EB0" w14:textId="77777777" w:rsidTr="00DA4678">
        <w:trPr>
          <w:trHeight w:val="48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31FDC74" w14:textId="114F2261" w:rsidR="00BB7825" w:rsidRDefault="00BB7825" w:rsidP="00F64A1C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8E5A10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B949CB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8E5A10" w:rsidRPr="008E5A1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05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AE5AE8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AE5AE8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68276C7" w14:textId="06B9F263" w:rsidR="00980208" w:rsidRDefault="00980208" w:rsidP="00980208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julgados, na presente sessão, 16 Processos de Fiscalização, todos eles </w:t>
            </w:r>
            <w:r w:rsidRPr="003C0162">
              <w:rPr>
                <w:rFonts w:asciiTheme="majorHAnsi" w:hAnsiTheme="majorHAnsi"/>
                <w:sz w:val="20"/>
                <w:szCs w:val="20"/>
                <w:lang w:val="pt-BR"/>
              </w:rPr>
              <w:t>apresentados pelo Cons. Ademir Nogueira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nos termos do Extrato de Julgamento de Processos de Fiscalização elaborado pela Assessoria Técnica da CEP-CAU/MG.  </w:t>
            </w:r>
          </w:p>
          <w:p w14:paraId="77D80C15" w14:textId="3F2983DC" w:rsidR="000A0FF9" w:rsidRPr="00823223" w:rsidRDefault="000A0FF9" w:rsidP="00F81CB5">
            <w:pPr>
              <w:pStyle w:val="PargrafodaLista"/>
              <w:spacing w:line="276" w:lineRule="auto"/>
              <w:ind w:left="288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AE5AE8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ECCBD47" w14:textId="45132B19" w:rsidR="00980208" w:rsidRDefault="00980208" w:rsidP="00980208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1.1.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Foram emitidas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8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.1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 198.1</w:t>
            </w:r>
            <w:r w:rsidRPr="003C016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16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referentes aos julgamentos </w:t>
            </w:r>
            <w:r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16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Processos de Fiscalização, nos termos do Extrato de Julgamento de Processos de Fiscalização elaborado pela Assessoria Técnica da CEP-CAU/MG. As deliberações foram encaminhadas à Presidência do CAU/MG, por meio do Sistema SICCAU, para remessa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ao Plenário do CAU/MG. O Extrato de Julgamento foi encaminhado para publicação no Portal da Transparência.</w:t>
            </w:r>
          </w:p>
          <w:p w14:paraId="36C26159" w14:textId="1892B23E" w:rsidR="00A12223" w:rsidRPr="00A07397" w:rsidRDefault="00A12223" w:rsidP="0023578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AE5AE8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AE5AE8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AE5AE8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55455D3" w14:textId="70B148F1" w:rsidR="00F81CB5" w:rsidRDefault="00F81CB5" w:rsidP="00F81CB5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Não foram distribuídos processos de fiscalização na presente sessão.</w:t>
            </w:r>
          </w:p>
          <w:p w14:paraId="34A7A2F2" w14:textId="3EF66004" w:rsidR="00ED3763" w:rsidRPr="00981C59" w:rsidRDefault="00ED3763" w:rsidP="00F81CB5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tr w:rsidR="00841D12" w:rsidRPr="00AE5AE8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107433DE" w:rsidR="00ED3763" w:rsidRPr="00740BCD" w:rsidRDefault="00981C59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bookmarkEnd w:id="0"/>
      <w:tr w:rsidR="00A07397" w:rsidRPr="00AE5AE8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À</w:t>
            </w:r>
            <w:r w:rsidR="008E3C61"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 w:rsidRPr="001861C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AE5AE8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D29345B" w14:textId="2E895F95" w:rsidR="001861C5" w:rsidRDefault="001861C5" w:rsidP="001861C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Evolu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ção da regularidade dos editais:</w:t>
            </w:r>
          </w:p>
          <w:p w14:paraId="6473DE7E" w14:textId="7E6DD84C" w:rsidR="001861C5" w:rsidRPr="008E5A10" w:rsidRDefault="004501B8" w:rsidP="00435DED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Gerente Técnica e de Fiscalização do CAU/MG</w:t>
            </w:r>
            <w:r w:rsidR="00435DED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apresentou os dados do </w:t>
            </w:r>
            <w:r w:rsidR="00435DED" w:rsidRPr="00435DED">
              <w:rPr>
                <w:rFonts w:asciiTheme="majorHAnsi" w:hAnsiTheme="majorHAnsi"/>
                <w:sz w:val="20"/>
                <w:szCs w:val="20"/>
                <w:lang w:val="pt-BR"/>
              </w:rPr>
              <w:t>histórico de regularização de editais desde o início desta ação de fiscalização, a fim de que se tenha um panorama mais completo sobre a efetividade das ações</w:t>
            </w:r>
            <w:r w:rsidR="00435DED">
              <w:rPr>
                <w:rFonts w:asciiTheme="majorHAnsi" w:hAnsiTheme="majorHAnsi"/>
                <w:sz w:val="20"/>
                <w:szCs w:val="20"/>
                <w:lang w:val="pt-BR"/>
              </w:rPr>
              <w:t>. Conforme os dados apresentados, e após discussões, a Comissão decidiu por não sugerir mudanças de procedimento para essas ações, tendo em vista que consideraram como efetivas, ao longo do tempo, as ações em andamento.</w:t>
            </w:r>
          </w:p>
          <w:p w14:paraId="60CA6A30" w14:textId="318CAD3D" w:rsidR="001861C5" w:rsidRDefault="001861C5" w:rsidP="001861C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Atribuições profission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ais deliberadas pelo CEP-CAU/BR:</w:t>
            </w:r>
          </w:p>
          <w:p w14:paraId="7CDED665" w14:textId="29DA29DA" w:rsidR="001861C5" w:rsidRPr="001861C5" w:rsidRDefault="00435DED" w:rsidP="00435DED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Foram discutidas questões acerca do fluxograma de consulta ao CAU/BR para dúvidas relacionadas às atribuições profissionais até que seja realizada a revisão da Resolução n° 21. A Gerente Técnica e de Fiscalização do CAU/MG destacou que grande parte do fluxo proposto já faz parte dos procedimentos de rotina do corpo técnico do CAU/MG. Ficou definido que serão incorporados os procedimentos que ainda não eram realizados, como a consulta via RIA</w:t>
            </w:r>
            <w:r w:rsidR="00B343D6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50589944" w14:textId="7DB187F8" w:rsidR="001861C5" w:rsidRDefault="001861C5" w:rsidP="001861C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Alteração Nota de fiscalização:</w:t>
            </w:r>
          </w:p>
          <w:p w14:paraId="1EBA245D" w14:textId="75BFB898" w:rsidR="001861C5" w:rsidRPr="001861C5" w:rsidRDefault="00A35761" w:rsidP="00A35761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análise e considerações, foi aprovada a alteração do </w:t>
            </w:r>
            <w:r w:rsidRPr="00A35761">
              <w:rPr>
                <w:rFonts w:asciiTheme="majorHAnsi" w:hAnsiTheme="majorHAnsi"/>
                <w:sz w:val="20"/>
                <w:szCs w:val="20"/>
                <w:lang w:val="pt-BR"/>
              </w:rPr>
              <w:t>documento denominado “Nota de Fiscalização”, a fim de que este contemple maiores informações e esclarecimentos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para o saneamento de dúvidas recorrentes</w:t>
            </w:r>
            <w:r w:rsidRPr="00A35761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71FC99C5" w14:textId="33A92418" w:rsidR="001861C5" w:rsidRDefault="001861C5" w:rsidP="001861C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Memorando GERTEF nº 023/2022: item i- "em fiscalização de rotina para ausência de registro de pessoa jurídica, como devemos tratar as empresas que possu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em registro inativo no CREA-MG":</w:t>
            </w:r>
          </w:p>
          <w:p w14:paraId="7ADA6A15" w14:textId="23D1447B" w:rsidR="001861C5" w:rsidRPr="001861C5" w:rsidRDefault="00443CEA" w:rsidP="00443CEA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Após análise e discussões sobre o questionamento apresentado, os membros da Comissão decidiram por o</w:t>
            </w:r>
            <w:r w:rsidRPr="00443C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rientar ao Setor de Fiscalização do CAU/MG que, em fiscalização de rotina para ausência de registro profissional de pessoa jurídica, caso constatada a existência de pessoa jurídica com registro inativo em outros órgãos de fiscalização profissional, não deverá ser considerada como suficiente para a comprovação da atuação na área da arquitetura e urbanismo apenas a existência, no  Cartão CNPJ, de </w:t>
            </w:r>
            <w:proofErr w:type="spellStart"/>
            <w:r w:rsidRPr="00443CEA">
              <w:rPr>
                <w:rFonts w:asciiTheme="majorHAnsi" w:hAnsiTheme="majorHAnsi"/>
                <w:sz w:val="20"/>
                <w:szCs w:val="20"/>
                <w:lang w:val="pt-BR"/>
              </w:rPr>
              <w:t>CNAE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’s</w:t>
            </w:r>
            <w:proofErr w:type="spellEnd"/>
            <w:r w:rsidRPr="00443C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relacionadas à arquitetura e urbanismo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 Ou seja, serão necessárias outras provas que comprovem a atuação e/ou apresentação da empresa como prestadora de serviços.</w:t>
            </w:r>
          </w:p>
          <w:p w14:paraId="02A41321" w14:textId="2F5AC038" w:rsidR="001861C5" w:rsidRDefault="001861C5" w:rsidP="001861C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Denúncia 1589607/2022: violação de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ireito autoral por proprietário:</w:t>
            </w:r>
          </w:p>
          <w:p w14:paraId="478CEC46" w14:textId="55A77B4B" w:rsidR="008D2CC0" w:rsidRDefault="008D2CC0" w:rsidP="008D2CC0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 Gerente Técnica e de Fiscalização apresentou o caso referente a denúncia de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 xml:space="preserve">arquiteta e urbanista dando conta da recusa do proprietário em fixar placa de obra. Foi discutida ainda a questão da falta de possibilidade de operacionalização da denúncia no SICCAU, uma vez que não há módulo específico para processar denúncias com base nas </w:t>
            </w:r>
            <w:r w:rsidRPr="008D2CC0">
              <w:rPr>
                <w:rFonts w:asciiTheme="majorHAnsi" w:hAnsiTheme="majorHAnsi"/>
                <w:sz w:val="20"/>
                <w:szCs w:val="20"/>
                <w:lang w:val="pt-BR"/>
              </w:rPr>
              <w:t>Resoluç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ões</w:t>
            </w:r>
            <w:r w:rsidRPr="008D2CC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CAU/BR n° 67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75. Após análise do material enviado pela profissional por mensagem eletrônica (capturas de tela de conversas por aplicativo de celular), decidiu-se por solicitar ao </w:t>
            </w:r>
            <w:r w:rsidRPr="008D2CC0">
              <w:rPr>
                <w:rFonts w:asciiTheme="majorHAnsi" w:hAnsiTheme="majorHAnsi"/>
                <w:sz w:val="20"/>
                <w:szCs w:val="20"/>
                <w:lang w:val="pt-BR"/>
              </w:rPr>
              <w:t>Setor de Fiscalização do CAU/MG o encaminhamento de Ofício ao proprietário da obra em questão, pedindo esclarecimentos sobre a suposta violação aos direitos autorais, de forma a possibilitar o pleno exercício do direito à ampla defesa e ao contraditório, conforme minuta apensada à presente Deliberação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Foi solicitado ainda o envio de pedido de esclarecimentos à </w:t>
            </w:r>
            <w:r w:rsidRPr="008D2CC0">
              <w:rPr>
                <w:rFonts w:asciiTheme="majorHAnsi" w:hAnsiTheme="majorHAnsi"/>
                <w:sz w:val="20"/>
                <w:szCs w:val="20"/>
                <w:lang w:val="pt-BR"/>
              </w:rPr>
              <w:t>Comissão de Exercício Profissional, CEP-CAU/BR, especificamente sobre a forma de operacionalização da denúncia no âmbito do SICCAU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6B7E9681" w14:textId="0E44AD97" w:rsidR="001861C5" w:rsidRDefault="001861C5" w:rsidP="001861C5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Protocolo 1605025/2022: indícios de infração ético-disciplinar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A76DDD5" w14:textId="7B144EA6" w:rsidR="001861C5" w:rsidRPr="003E0DEE" w:rsidRDefault="003E0DEE" w:rsidP="003E0DE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Sobre o caso em questão, já debatido na CEP em algumas oportunidades, a Gerente Técnica e de Fiscalização informou não ser possível abrir os processos de fiscalização por ausência de RRT, conforme solicitação da Comissão na </w:t>
            </w:r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>DCEP-CAU/MG n° 191.3.1/2022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uma vez que existem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abertos, mesmo que com irregularidades, para as atividades fiscalizadas. Diante desta situação, a CEP s</w:t>
            </w:r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>olicit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ou</w:t>
            </w:r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</w:t>
            </w:r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anulação d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 tod</w:t>
            </w:r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os </w:t>
            </w:r>
            <w:proofErr w:type="spellStart"/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>RRT’s</w:t>
            </w:r>
            <w:proofErr w:type="spellEnd"/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 inconformidade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</w:t>
            </w:r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passíveis de anulação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deste profissional</w:t>
            </w:r>
            <w:r w:rsidRPr="00AE5AE8">
              <w:rPr>
                <w:rFonts w:asciiTheme="majorHAnsi" w:hAnsiTheme="majorHAnsi"/>
                <w:sz w:val="20"/>
                <w:szCs w:val="20"/>
                <w:lang w:val="pt-BR"/>
              </w:rPr>
              <w:t>, de forma que possam ser dados os devidos encaminhados aos processos de fiscalização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4B106DC3" w14:textId="55EDF730" w:rsidR="00BB53F0" w:rsidRPr="00043280" w:rsidRDefault="00BB53F0" w:rsidP="00851F49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AE5AE8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4C2B67FB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84CE6D3" w14:textId="13389A5C" w:rsidR="008B7B28" w:rsidRDefault="001861C5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3.1. </w:t>
            </w: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deliberação sobre a matéria;</w:t>
            </w:r>
          </w:p>
          <w:p w14:paraId="03BEDDD1" w14:textId="4F1F385E" w:rsidR="00B343D6" w:rsidRDefault="00B343D6" w:rsidP="00B343D6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</w:t>
            </w: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deliberação sobre a matéria;</w:t>
            </w:r>
          </w:p>
          <w:p w14:paraId="6F718CD5" w14:textId="46DCC0BF" w:rsidR="00A70422" w:rsidRDefault="00B343D6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3.3</w:t>
            </w:r>
            <w:r w:rsid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190F12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190F12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A35761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198</w:t>
            </w:r>
            <w:r w:rsidR="00190F1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190F12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="00A35761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.3</w:t>
            </w:r>
            <w:r w:rsidR="00190F1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8D2CC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190F12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190F12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190F12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E70A6D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aprova </w:t>
            </w:r>
            <w:r w:rsidR="00A35761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alteração da Nota de Fiscalização</w:t>
            </w:r>
            <w:r w:rsid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="00190F12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0425A5" w:rsidRPr="000425A5">
              <w:rPr>
                <w:rFonts w:asciiTheme="majorHAnsi" w:hAnsiTheme="majorHAnsi"/>
                <w:sz w:val="20"/>
                <w:szCs w:val="20"/>
                <w:lang w:val="pt-BR"/>
              </w:rPr>
              <w:t>1638356</w:t>
            </w:r>
            <w:r w:rsidR="00190F12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E70A6D"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 w:rsidR="00190F12">
              <w:rPr>
                <w:rFonts w:asciiTheme="majorHAnsi" w:hAnsiTheme="majorHAnsi"/>
                <w:sz w:val="20"/>
                <w:szCs w:val="20"/>
                <w:lang w:val="pt-BR"/>
              </w:rPr>
              <w:t>, para</w:t>
            </w:r>
            <w:r w:rsidR="000425A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conhecimento e encaminhamentos;</w:t>
            </w:r>
          </w:p>
          <w:p w14:paraId="3DE0D29E" w14:textId="7801ECA5" w:rsidR="000425A5" w:rsidRDefault="000425A5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3.4</w:t>
            </w:r>
            <w:r w:rsidR="00443C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443CE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443CEA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443CEA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198</w:t>
            </w:r>
            <w:r w:rsidR="00443CEA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443CEA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3.4</w:t>
            </w:r>
            <w:r w:rsidR="00443CEA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8D2CC0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443CEA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443CEA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443CEA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443CEA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com orientações ao Setor de Fiscalização,</w:t>
            </w:r>
            <w:r w:rsidR="00443CEA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foi remetida à Presidência por meio do </w:t>
            </w:r>
            <w:r w:rsidR="00443CEA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443CEA" w:rsidRPr="00443CEA">
              <w:rPr>
                <w:rFonts w:asciiTheme="majorHAnsi" w:hAnsiTheme="majorHAnsi"/>
                <w:sz w:val="20"/>
                <w:szCs w:val="20"/>
                <w:lang w:val="pt-BR"/>
              </w:rPr>
              <w:t>1638482</w:t>
            </w:r>
            <w:r w:rsidR="00443CEA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443CEA"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encaminhamentos;</w:t>
            </w:r>
          </w:p>
          <w:p w14:paraId="61BB9362" w14:textId="5A978DBA" w:rsidR="008D2CC0" w:rsidRDefault="008D2CC0" w:rsidP="008D2CC0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3.</w:t>
            </w:r>
            <w:r w:rsidR="00AE5AE8">
              <w:rPr>
                <w:rFonts w:asciiTheme="majorHAnsi" w:hAnsiTheme="majorHAnsi"/>
                <w:sz w:val="20"/>
                <w:szCs w:val="20"/>
                <w:lang w:val="pt-BR"/>
              </w:rPr>
              <w:t>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198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3.5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com orientações ao Setor de Fiscalização,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8D2CC0">
              <w:rPr>
                <w:rFonts w:asciiTheme="majorHAnsi" w:hAnsiTheme="majorHAnsi"/>
                <w:sz w:val="20"/>
                <w:szCs w:val="20"/>
                <w:lang w:val="pt-BR"/>
              </w:rPr>
              <w:t>1642290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encaminhamentos;</w:t>
            </w:r>
          </w:p>
          <w:p w14:paraId="36F7F695" w14:textId="7C8FDB1E" w:rsidR="008D2CC0" w:rsidRPr="003E0DEE" w:rsidRDefault="003E0DEE" w:rsidP="003E0DE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198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com orientações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para anulação dos </w:t>
            </w:r>
            <w:proofErr w:type="spellStart"/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RRT’s</w:t>
            </w:r>
            <w:proofErr w:type="spellEnd"/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com inconformidade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3E0DEE">
              <w:rPr>
                <w:rFonts w:asciiTheme="majorHAnsi" w:hAnsiTheme="majorHAnsi"/>
                <w:sz w:val="20"/>
                <w:szCs w:val="20"/>
                <w:lang w:val="pt-BR"/>
              </w:rPr>
              <w:t>1642327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encaminhamentos;</w:t>
            </w:r>
          </w:p>
          <w:p w14:paraId="78F92DA0" w14:textId="293FFAF4" w:rsidR="00A70422" w:rsidRPr="000962B4" w:rsidRDefault="00A70422" w:rsidP="000962B4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AE5AE8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4FCC0C0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AE5AE8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AE5AE8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3A04A842" w14:textId="429ECD25" w:rsidR="00F81CB5" w:rsidRDefault="00F81CB5" w:rsidP="00F81CB5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Não foram discutidos assuntos relacionados a análises técnicas na presente sessão.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AE5AE8" w14:paraId="09A1C90F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CD3EFC3" w14:textId="2C367189" w:rsidR="00955C78" w:rsidRPr="00B30203" w:rsidRDefault="00F81CB5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tr w:rsidR="005A1D65" w:rsidRPr="00AE5AE8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3E0DEE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5551EA5" w14:textId="04A536E6" w:rsidR="00C72662" w:rsidRDefault="003E0DEE" w:rsidP="00C72662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Ofício n° 002/2022, da Secretaria de Regulação Urbana, da Prefeitura</w:t>
            </w:r>
            <w:r w:rsidR="004B2A4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8E5A10">
              <w:rPr>
                <w:rFonts w:asciiTheme="majorHAnsi" w:hAnsiTheme="majorHAnsi"/>
                <w:sz w:val="20"/>
                <w:szCs w:val="20"/>
                <w:lang w:val="pt-BR"/>
              </w:rPr>
              <w:t>de Itaúna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8FC988A" w14:textId="10E379E4" w:rsidR="00C72662" w:rsidRPr="00C72662" w:rsidRDefault="003E0DEE" w:rsidP="003E0DE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Mediante resposta recebida, a Comissão considerou satisfatórios os esclarecimentos encaminhados, orientando o Setor de Fiscalização como desnecessária a realização de ações de fiscalização específicas ao caso, bem como orientando pelo retorno ao profissional denunciante.</w:t>
            </w:r>
            <w:r w:rsidR="006F446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3E0DEE" w14:paraId="6D440244" w14:textId="77777777" w:rsidTr="003E0DEE">
        <w:trPr>
          <w:trHeight w:val="27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2FB554D6" w14:textId="77777777" w:rsidR="00823223" w:rsidRDefault="00D01DD9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3E0DEE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3E0DEE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3E0DEE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198</w:t>
            </w:r>
            <w:r w:rsidR="003E0DEE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E0DEE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5</w:t>
            </w:r>
            <w:r w:rsidR="003E0DEE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 w:rsidR="003E0DEE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1</w:t>
            </w:r>
            <w:r w:rsidR="003E0DEE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 w:rsidR="003E0DEE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="003E0DEE"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="003E0DEE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3E0DEE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3E0DEE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com orientações sobre os encaminhamentos da denúncia</w:t>
            </w:r>
            <w:r w:rsidR="003E0DE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="003E0DEE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3E0DEE" w:rsidRPr="000425A5">
              <w:rPr>
                <w:rFonts w:asciiTheme="majorHAnsi" w:hAnsiTheme="majorHAnsi"/>
                <w:sz w:val="20"/>
                <w:szCs w:val="20"/>
                <w:lang w:val="pt-BR"/>
              </w:rPr>
              <w:t>1638356</w:t>
            </w:r>
            <w:r w:rsidR="003E0DEE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3E0DEE"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encaminhamentos;</w:t>
            </w:r>
          </w:p>
          <w:p w14:paraId="4CA83D49" w14:textId="7FCE7D99" w:rsidR="003E0DEE" w:rsidRPr="00B30203" w:rsidRDefault="003E0DEE" w:rsidP="002E77DE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3E0DEE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07796554" w14:textId="29ED1594" w:rsidR="003E0DEE" w:rsidRDefault="003E0DEE" w:rsidP="003E0DE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Apreciação tutorial </w:t>
            </w:r>
            <w:r w:rsidR="00A0748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solicitação de descontos de pessoa física junto ao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5E1A86B" w14:textId="66CA3F32" w:rsidR="003E0DEE" w:rsidRDefault="00A07485" w:rsidP="003E0DE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 Gerente Técnica e de Fiscalização apresentou tutorial desenvolvido pela Assessoria de Comunicação com orientações sobre a solicitação de descontos e solicitou contribuições desta Comissão antes de sua publicação nas redes oficiais do CAU/MG. A CEP-CAU/MG aprovou, sem alterações, o documento apresentado.</w:t>
            </w:r>
          </w:p>
          <w:p w14:paraId="57310F12" w14:textId="3EA6FCD9" w:rsidR="003E0DEE" w:rsidRDefault="003E0DEE" w:rsidP="003E0DE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Solicitação de agendamento de reunião extraordinária para a CEP-CAU/MG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E12D00E" w14:textId="12641750" w:rsidR="00623E42" w:rsidRPr="00623E42" w:rsidRDefault="00A07485" w:rsidP="00A07485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Tendo em vista o grande volume de processos de fiscalização pendentes, o Coordenador</w:t>
            </w:r>
            <w:r w:rsidR="007A22B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Conselheiro Ademir Nogueira,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verificou com os demais membros sobre a possibilidade de agendamento de nova reunião extraordinária, com pauta única de julgamento de processos, ficou definida a data do dia 23/11/2022;</w:t>
            </w:r>
          </w:p>
          <w:p w14:paraId="45091DB5" w14:textId="77777777" w:rsidR="00623E42" w:rsidRDefault="00623E42" w:rsidP="00623E4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elaboração de relatórios para os processos administrativos de fiscalização no CAU/MG:</w:t>
            </w:r>
          </w:p>
          <w:p w14:paraId="3EB3857D" w14:textId="3E2CFD9F" w:rsidR="003E0DEE" w:rsidRPr="003E0DEE" w:rsidRDefault="004B2A41" w:rsidP="004B2A4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Membro Titular da CEP-CAU/MG, Conselheiro Lucas Leonel, solicitou que seja discutida na Comissão uma forma de melhoria no procedimento de análise e julgamento de processos, em especial no que diz respeito à elaboração dos Relatórios e Votos, tendo em vista a grande demanda de processos encaminhados pelo Setor de Fiscalização do CAU/MG; sugeriu que os relatórios sejam elaborados pelo Assessor Técnico da Comissão, ficando a cargo do Conselheiro Relator a conferência e assinatura do documento, bem como sua posterior apresentação para julgamento pelos demais membros da Comissão. Após discussões e consideração dos membros presentes, bem como da Conselheira Luciana Bracarense, em participação virtual, os membros da Comissão não chegaram a um consenso. Mediante a concordância da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Conselheira Luciana Bracarense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ficou decidido que a metodologia de produção de relatórios pela Assessoria Técnica da Comissão seria colocada em formato de teste, devendo serem elaborados 10 relatórios para a próxima reunião. Tanto o Coordenador da Comissão, Conselheiro Ademir Nogueira, quanto 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Membro Titular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, Conselheiro Felipe Moura, por discordarem da metodologia proposta, optaram por não solicitar a elaboração de relatórios por esta metodologia. A Comissão optou por somente definir uma alteração definitiva na atual forma análise e julgamento de processos após a realização de um período de testes, conforme formalizado por meio de deliberação</w:t>
            </w:r>
            <w:r w:rsidR="0025243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específica.</w:t>
            </w:r>
          </w:p>
          <w:p w14:paraId="1FCFFF01" w14:textId="5C185875" w:rsidR="003E0DEE" w:rsidRDefault="003E0DEE" w:rsidP="003E0DE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encaminhamentos dados aos processos administrativos de fiscalização no CAU/MG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D06570C" w14:textId="56E47C6D" w:rsidR="003E0DEE" w:rsidRPr="003E0DEE" w:rsidRDefault="00A07485" w:rsidP="007A22B7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Coordenador da Comissão, Conselheiro Ademir Nogueira,</w:t>
            </w:r>
            <w:r w:rsidR="007A22B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mencionou</w:t>
            </w:r>
            <w:r w:rsidR="00C700F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sobre problemas ocorridos nos encaminhamentos dos processos de fiscalização, após o julgamento pela CEP, para outros órgãos públicos, em especial o Ministério Público de Minas Gerais. Após discussões e considerações, foi solicitado que o tema seja pautado para a próxima reunião, com a presença da Gerência Jurídica, de forma que possam ser tomadas as providências necessárias.</w:t>
            </w:r>
          </w:p>
          <w:p w14:paraId="635A9F25" w14:textId="77777777" w:rsidR="00623E42" w:rsidRDefault="00623E42" w:rsidP="00623E42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Discussões sobre necessidades de adequação na montagem dos processos administrativos de fiscalização:</w:t>
            </w:r>
          </w:p>
          <w:p w14:paraId="6EB693C7" w14:textId="311178BF" w:rsidR="00623E42" w:rsidRPr="00623E42" w:rsidRDefault="007A22B7" w:rsidP="007A22B7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Coordenador da Comissão, Conselheiro Ademir Nogueira, questionou a Gerente Técnica e de Fiscalização sobre a montagem dos Processos de Fiscalização, destacando especificamente a questão da numeração de páginas. Solicitou que seja verificada a possibilidade de melhorias no procedimento, seja no próprio SICCAU, ou seja pela aquisição de licença, pelo CAU/MG, de software pago de leitura e edição de arquivos tipo “PDF”, de forma que os processos sejam devidamente numerados, conforme estabelece a lei de processos administrativos.  </w:t>
            </w:r>
          </w:p>
          <w:p w14:paraId="7A12ED40" w14:textId="1BA110B9" w:rsidR="003E0DEE" w:rsidRPr="00A07485" w:rsidRDefault="003E0DEE" w:rsidP="00A07485">
            <w:pPr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E3C61" w:rsidRPr="00623E42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13B4E05D" w14:textId="3D023418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.1. </w:t>
            </w: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deliberação sobre a matéria;</w:t>
            </w:r>
          </w:p>
          <w:p w14:paraId="0979BD1A" w14:textId="474F9647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198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solicita agendamento de reunião extraordinária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623E42">
              <w:rPr>
                <w:rFonts w:asciiTheme="majorHAnsi" w:hAnsiTheme="majorHAnsi"/>
                <w:sz w:val="20"/>
                <w:szCs w:val="20"/>
                <w:lang w:val="pt-BR"/>
              </w:rPr>
              <w:t>1635673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encaminhamentos;</w:t>
            </w:r>
          </w:p>
          <w:p w14:paraId="35E50792" w14:textId="30310BE6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6.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198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.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6.</w:t>
            </w:r>
            <w:r w:rsidR="00252434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3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/202</w:t>
            </w:r>
            <w:r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2</w:t>
            </w:r>
            <w:r w:rsidRPr="008274CC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25243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formaliza a metodologia de elaboração de relatórios no âmbito desta Comissão, em caráter de teste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e foi remetida à Presidência por meio do 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Pr="00623E42">
              <w:rPr>
                <w:rFonts w:asciiTheme="majorHAnsi" w:hAnsiTheme="majorHAnsi"/>
                <w:sz w:val="20"/>
                <w:szCs w:val="20"/>
                <w:lang w:val="pt-BR"/>
              </w:rPr>
              <w:t>1635673</w:t>
            </w:r>
            <w:r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encaminhamentos;</w:t>
            </w:r>
          </w:p>
          <w:p w14:paraId="79FB3EA8" w14:textId="4A91B2F3" w:rsid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6.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="004B2A41">
              <w:rPr>
                <w:rFonts w:asciiTheme="majorHAnsi" w:hAnsiTheme="majorHAnsi"/>
                <w:sz w:val="20"/>
                <w:szCs w:val="20"/>
                <w:lang w:val="pt-BR"/>
              </w:rPr>
              <w:t>O assunto deverá ser pautado para a próxima reunião ordinária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62250FA1" w14:textId="06EE6C68" w:rsidR="00623E42" w:rsidRPr="00623E42" w:rsidRDefault="00623E42" w:rsidP="00623E42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6.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</w:t>
            </w: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 deliberação sobre a matéria;</w:t>
            </w:r>
          </w:p>
          <w:p w14:paraId="0DEF9778" w14:textId="0A529D2D" w:rsidR="00FF5305" w:rsidRPr="00A07397" w:rsidRDefault="00FF5305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AE5AE8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790A2B8E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3821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Coordenador informou sobre a participação da CEP-CAU/MG no Seminário Nacional, que discutiu questões relacionadas ao fluxograma de consulta ao CAU/BR sobre atribuições profissionais, bem como sobre a implementação da Resolução CAU/BR n° 198/2020, que trata de fiscalização do exercício da arquitetura e urbanismo.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10B5D44B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3821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AE5AE8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141476D8" w:rsidR="00E70A6D" w:rsidRPr="00306DC0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:rsidRPr="00EC3313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6BC7" w14:textId="77777777" w:rsidR="004645DC" w:rsidRDefault="004645DC">
      <w:r>
        <w:separator/>
      </w:r>
    </w:p>
  </w:endnote>
  <w:endnote w:type="continuationSeparator" w:id="0">
    <w:p w14:paraId="758C193E" w14:textId="77777777" w:rsidR="004645DC" w:rsidRDefault="0046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4716" w14:textId="77777777" w:rsidR="004645DC" w:rsidRDefault="004645DC">
      <w:r>
        <w:separator/>
      </w:r>
    </w:p>
  </w:footnote>
  <w:footnote w:type="continuationSeparator" w:id="0">
    <w:p w14:paraId="5D27601E" w14:textId="77777777" w:rsidR="004645DC" w:rsidRDefault="0046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6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210267762">
    <w:abstractNumId w:val="19"/>
  </w:num>
  <w:num w:numId="2" w16cid:durableId="1280599660">
    <w:abstractNumId w:val="25"/>
  </w:num>
  <w:num w:numId="3" w16cid:durableId="1458256995">
    <w:abstractNumId w:val="12"/>
  </w:num>
  <w:num w:numId="4" w16cid:durableId="1567834974">
    <w:abstractNumId w:val="21"/>
  </w:num>
  <w:num w:numId="5" w16cid:durableId="1203861320">
    <w:abstractNumId w:val="9"/>
  </w:num>
  <w:num w:numId="6" w16cid:durableId="714155311">
    <w:abstractNumId w:val="15"/>
  </w:num>
  <w:num w:numId="7" w16cid:durableId="1438283115">
    <w:abstractNumId w:val="5"/>
  </w:num>
  <w:num w:numId="8" w16cid:durableId="672075107">
    <w:abstractNumId w:val="20"/>
  </w:num>
  <w:num w:numId="9" w16cid:durableId="1859615716">
    <w:abstractNumId w:val="8"/>
  </w:num>
  <w:num w:numId="10" w16cid:durableId="1758478063">
    <w:abstractNumId w:val="7"/>
  </w:num>
  <w:num w:numId="11" w16cid:durableId="1129318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773604">
    <w:abstractNumId w:val="17"/>
  </w:num>
  <w:num w:numId="13" w16cid:durableId="1567034144">
    <w:abstractNumId w:val="2"/>
  </w:num>
  <w:num w:numId="14" w16cid:durableId="432283687">
    <w:abstractNumId w:val="3"/>
  </w:num>
  <w:num w:numId="15" w16cid:durableId="93593637">
    <w:abstractNumId w:val="4"/>
  </w:num>
  <w:num w:numId="16" w16cid:durableId="1101989792">
    <w:abstractNumId w:val="23"/>
  </w:num>
  <w:num w:numId="17" w16cid:durableId="1712029389">
    <w:abstractNumId w:val="1"/>
  </w:num>
  <w:num w:numId="18" w16cid:durableId="537744741">
    <w:abstractNumId w:val="18"/>
  </w:num>
  <w:num w:numId="19" w16cid:durableId="1515000952">
    <w:abstractNumId w:val="13"/>
  </w:num>
  <w:num w:numId="20" w16cid:durableId="1510099707">
    <w:abstractNumId w:val="24"/>
  </w:num>
  <w:num w:numId="21" w16cid:durableId="62066457">
    <w:abstractNumId w:val="14"/>
  </w:num>
  <w:num w:numId="22" w16cid:durableId="900797049">
    <w:abstractNumId w:val="22"/>
  </w:num>
  <w:num w:numId="23" w16cid:durableId="2107725406">
    <w:abstractNumId w:val="11"/>
  </w:num>
  <w:num w:numId="24" w16cid:durableId="99617241">
    <w:abstractNumId w:val="0"/>
  </w:num>
  <w:num w:numId="25" w16cid:durableId="1065684627">
    <w:abstractNumId w:val="10"/>
  </w:num>
  <w:num w:numId="26" w16cid:durableId="10815663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1281919">
    <w:abstractNumId w:val="26"/>
  </w:num>
  <w:num w:numId="28" w16cid:durableId="7856609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17E4"/>
    <w:rsid w:val="00013E44"/>
    <w:rsid w:val="00015BEF"/>
    <w:rsid w:val="00020413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5A5"/>
    <w:rsid w:val="00042ECB"/>
    <w:rsid w:val="00043280"/>
    <w:rsid w:val="00074F63"/>
    <w:rsid w:val="00084D7A"/>
    <w:rsid w:val="0009353C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488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33CF"/>
    <w:rsid w:val="001618BE"/>
    <w:rsid w:val="001722E0"/>
    <w:rsid w:val="0017578F"/>
    <w:rsid w:val="00184FEF"/>
    <w:rsid w:val="001861C5"/>
    <w:rsid w:val="00190F12"/>
    <w:rsid w:val="00192F7D"/>
    <w:rsid w:val="0019787D"/>
    <w:rsid w:val="001A4779"/>
    <w:rsid w:val="001B4C81"/>
    <w:rsid w:val="001C5F97"/>
    <w:rsid w:val="001D1B93"/>
    <w:rsid w:val="001F22F3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35782"/>
    <w:rsid w:val="00243744"/>
    <w:rsid w:val="00252434"/>
    <w:rsid w:val="002978BD"/>
    <w:rsid w:val="002A525F"/>
    <w:rsid w:val="002A57A5"/>
    <w:rsid w:val="002C216D"/>
    <w:rsid w:val="002D56F8"/>
    <w:rsid w:val="002E6385"/>
    <w:rsid w:val="002E77DE"/>
    <w:rsid w:val="002F4CD8"/>
    <w:rsid w:val="00306DC0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526E8"/>
    <w:rsid w:val="003574F9"/>
    <w:rsid w:val="00361AD3"/>
    <w:rsid w:val="003671C4"/>
    <w:rsid w:val="0037114A"/>
    <w:rsid w:val="00377C90"/>
    <w:rsid w:val="00382115"/>
    <w:rsid w:val="00384E21"/>
    <w:rsid w:val="00391DF6"/>
    <w:rsid w:val="003A1FCD"/>
    <w:rsid w:val="003C1025"/>
    <w:rsid w:val="003D67E5"/>
    <w:rsid w:val="003E0DEE"/>
    <w:rsid w:val="003F238D"/>
    <w:rsid w:val="00400BE8"/>
    <w:rsid w:val="0040101C"/>
    <w:rsid w:val="004019BC"/>
    <w:rsid w:val="00410824"/>
    <w:rsid w:val="00415641"/>
    <w:rsid w:val="0042294A"/>
    <w:rsid w:val="00435DED"/>
    <w:rsid w:val="0044192A"/>
    <w:rsid w:val="00443CEA"/>
    <w:rsid w:val="004501B8"/>
    <w:rsid w:val="00464360"/>
    <w:rsid w:val="004645DC"/>
    <w:rsid w:val="00471431"/>
    <w:rsid w:val="00475E5D"/>
    <w:rsid w:val="00481423"/>
    <w:rsid w:val="004A432D"/>
    <w:rsid w:val="004A5592"/>
    <w:rsid w:val="004A65CC"/>
    <w:rsid w:val="004B2A41"/>
    <w:rsid w:val="004C3188"/>
    <w:rsid w:val="004C4D47"/>
    <w:rsid w:val="004E5095"/>
    <w:rsid w:val="005202A3"/>
    <w:rsid w:val="005254F1"/>
    <w:rsid w:val="00544B65"/>
    <w:rsid w:val="0055266E"/>
    <w:rsid w:val="005535F8"/>
    <w:rsid w:val="00554EC4"/>
    <w:rsid w:val="005573A3"/>
    <w:rsid w:val="0058091D"/>
    <w:rsid w:val="005941C1"/>
    <w:rsid w:val="00594763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23E42"/>
    <w:rsid w:val="00637067"/>
    <w:rsid w:val="00652A26"/>
    <w:rsid w:val="00655AD6"/>
    <w:rsid w:val="0066517D"/>
    <w:rsid w:val="00675FC1"/>
    <w:rsid w:val="00686D15"/>
    <w:rsid w:val="00692726"/>
    <w:rsid w:val="0069755D"/>
    <w:rsid w:val="006B1141"/>
    <w:rsid w:val="006B42D0"/>
    <w:rsid w:val="006B6454"/>
    <w:rsid w:val="006B6D8F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84563"/>
    <w:rsid w:val="0079491D"/>
    <w:rsid w:val="007958C6"/>
    <w:rsid w:val="007A22B7"/>
    <w:rsid w:val="007B000B"/>
    <w:rsid w:val="007B5991"/>
    <w:rsid w:val="007B6EE8"/>
    <w:rsid w:val="007C1C31"/>
    <w:rsid w:val="007C4298"/>
    <w:rsid w:val="007C5270"/>
    <w:rsid w:val="007F1BD0"/>
    <w:rsid w:val="007F4075"/>
    <w:rsid w:val="007F59F4"/>
    <w:rsid w:val="007F6D70"/>
    <w:rsid w:val="00800C01"/>
    <w:rsid w:val="00805D2F"/>
    <w:rsid w:val="008169CE"/>
    <w:rsid w:val="00823223"/>
    <w:rsid w:val="008274CC"/>
    <w:rsid w:val="00827AA5"/>
    <w:rsid w:val="00841D12"/>
    <w:rsid w:val="00845619"/>
    <w:rsid w:val="00846D3E"/>
    <w:rsid w:val="0084790C"/>
    <w:rsid w:val="00851F49"/>
    <w:rsid w:val="0085498E"/>
    <w:rsid w:val="008724F5"/>
    <w:rsid w:val="00891ED4"/>
    <w:rsid w:val="008A54D4"/>
    <w:rsid w:val="008B4E91"/>
    <w:rsid w:val="008B5E0B"/>
    <w:rsid w:val="008B6415"/>
    <w:rsid w:val="008B7B28"/>
    <w:rsid w:val="008C6FE0"/>
    <w:rsid w:val="008D2CC0"/>
    <w:rsid w:val="008D5A32"/>
    <w:rsid w:val="008D6C47"/>
    <w:rsid w:val="008E10F4"/>
    <w:rsid w:val="008E3531"/>
    <w:rsid w:val="008E3B96"/>
    <w:rsid w:val="008E3C61"/>
    <w:rsid w:val="008E5A10"/>
    <w:rsid w:val="008E691D"/>
    <w:rsid w:val="008F6E9F"/>
    <w:rsid w:val="00901AC9"/>
    <w:rsid w:val="00904DD2"/>
    <w:rsid w:val="0091772A"/>
    <w:rsid w:val="00935944"/>
    <w:rsid w:val="00941BF7"/>
    <w:rsid w:val="00955C78"/>
    <w:rsid w:val="00960864"/>
    <w:rsid w:val="00965D92"/>
    <w:rsid w:val="00967C2C"/>
    <w:rsid w:val="00972C20"/>
    <w:rsid w:val="00975825"/>
    <w:rsid w:val="00975AF2"/>
    <w:rsid w:val="00980208"/>
    <w:rsid w:val="00981C59"/>
    <w:rsid w:val="009916E7"/>
    <w:rsid w:val="009B3A08"/>
    <w:rsid w:val="009C023E"/>
    <w:rsid w:val="009C1FAC"/>
    <w:rsid w:val="009C2FC9"/>
    <w:rsid w:val="009D0851"/>
    <w:rsid w:val="009D124E"/>
    <w:rsid w:val="009E789F"/>
    <w:rsid w:val="00A07397"/>
    <w:rsid w:val="00A07485"/>
    <w:rsid w:val="00A12223"/>
    <w:rsid w:val="00A26A12"/>
    <w:rsid w:val="00A27652"/>
    <w:rsid w:val="00A33CB1"/>
    <w:rsid w:val="00A35761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C55C8"/>
    <w:rsid w:val="00AC7117"/>
    <w:rsid w:val="00AD2D9C"/>
    <w:rsid w:val="00AE26CF"/>
    <w:rsid w:val="00AE5AE8"/>
    <w:rsid w:val="00AE7B6E"/>
    <w:rsid w:val="00B10E1D"/>
    <w:rsid w:val="00B26BE0"/>
    <w:rsid w:val="00B30203"/>
    <w:rsid w:val="00B343D6"/>
    <w:rsid w:val="00B37AF7"/>
    <w:rsid w:val="00B44E9E"/>
    <w:rsid w:val="00B46377"/>
    <w:rsid w:val="00B54467"/>
    <w:rsid w:val="00B6071E"/>
    <w:rsid w:val="00B6166B"/>
    <w:rsid w:val="00B66C82"/>
    <w:rsid w:val="00B71EF7"/>
    <w:rsid w:val="00B74B68"/>
    <w:rsid w:val="00B949CB"/>
    <w:rsid w:val="00B95357"/>
    <w:rsid w:val="00BA1461"/>
    <w:rsid w:val="00BB29FA"/>
    <w:rsid w:val="00BB53F0"/>
    <w:rsid w:val="00BB7825"/>
    <w:rsid w:val="00BC4309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5259B"/>
    <w:rsid w:val="00C6352D"/>
    <w:rsid w:val="00C700F8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503A"/>
    <w:rsid w:val="00D15B06"/>
    <w:rsid w:val="00D22E01"/>
    <w:rsid w:val="00D564D8"/>
    <w:rsid w:val="00D66B18"/>
    <w:rsid w:val="00D90689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32874"/>
    <w:rsid w:val="00E34A87"/>
    <w:rsid w:val="00E70A6D"/>
    <w:rsid w:val="00E75375"/>
    <w:rsid w:val="00E81C98"/>
    <w:rsid w:val="00E9616C"/>
    <w:rsid w:val="00EC722C"/>
    <w:rsid w:val="00ED0D78"/>
    <w:rsid w:val="00ED3763"/>
    <w:rsid w:val="00F00BA5"/>
    <w:rsid w:val="00F0513A"/>
    <w:rsid w:val="00F11E8A"/>
    <w:rsid w:val="00F15852"/>
    <w:rsid w:val="00F17FA6"/>
    <w:rsid w:val="00F36FB0"/>
    <w:rsid w:val="00F416E8"/>
    <w:rsid w:val="00F460F0"/>
    <w:rsid w:val="00F64A1C"/>
    <w:rsid w:val="00F7051B"/>
    <w:rsid w:val="00F81CB5"/>
    <w:rsid w:val="00F8363E"/>
    <w:rsid w:val="00FA7D4D"/>
    <w:rsid w:val="00FB2152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05A5-9D0D-4D79-9228-09525D89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5</Pages>
  <Words>2397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82</cp:revision>
  <cp:lastPrinted>2021-06-25T13:35:00Z</cp:lastPrinted>
  <dcterms:created xsi:type="dcterms:W3CDTF">2021-04-20T11:43:00Z</dcterms:created>
  <dcterms:modified xsi:type="dcterms:W3CDTF">2022-12-02T13:43:00Z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