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881F38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06C63BD4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Pr="003B71E9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3B71E9" w:rsidRPr="003B71E9">
              <w:rPr>
                <w:rFonts w:asciiTheme="majorHAnsi" w:eastAsia="Calibri" w:hAnsiTheme="majorHAnsi" w:cs="Times New Roman"/>
                <w:b/>
                <w:lang w:val="pt-BR"/>
              </w:rPr>
              <w:t>9</w:t>
            </w:r>
            <w:r w:rsidR="000F40BE">
              <w:rPr>
                <w:rFonts w:asciiTheme="majorHAnsi" w:eastAsia="Calibri" w:hAnsiTheme="majorHAnsi" w:cs="Times New Roman"/>
                <w:b/>
                <w:lang w:val="pt-BR"/>
              </w:rPr>
              <w:t>7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881F38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54AE69BA" w:rsidR="002A57A5" w:rsidRDefault="000F40BE" w:rsidP="00043280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19</w:t>
            </w:r>
            <w:r w:rsidR="007958C6"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setembro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881F38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3572264A" w:rsidR="002A57A5" w:rsidRDefault="00152C7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Sede do Conselho Regional de </w:t>
            </w:r>
            <w:r w:rsidR="000F40B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Administração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, localizado à </w:t>
            </w:r>
            <w:r w:rsidR="000F40BE" w:rsidRPr="000F40B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Av. Olegário Maciel, 1233 - Lourdes, Belo Horizonte - MG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70ECBC31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F40B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32</w:t>
            </w:r>
            <w:r w:rsidR="007958C6"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0F40B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227F29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F40B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79E66FFF" w:rsidR="00074F63" w:rsidRPr="00B37AF7" w:rsidRDefault="00E70A6D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70A6D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Luciana Bracarense Coimbra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70A35AB7" w:rsidR="00074F63" w:rsidRPr="00B37AF7" w:rsidRDefault="00F8363E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d. Adjunt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2C23E9F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Felipe Colmanetti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10C51EDA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7904643" w14:textId="23E34E1D" w:rsidR="00074F63" w:rsidRPr="00B37AF7" w:rsidRDefault="00E70A6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4E42DFE" w14:textId="6CA4AB3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B6071E" w:rsidRPr="00881F38" w14:paraId="5C492F34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19826C2" w14:textId="77777777" w:rsidR="00B6071E" w:rsidRDefault="00B6071E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35139C58" w14:textId="19565F27" w:rsidR="00B6071E" w:rsidRPr="00B37AF7" w:rsidRDefault="00152C7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61BAD4" w14:textId="299BFF1F" w:rsidR="00B6071E" w:rsidRPr="00B37AF7" w:rsidRDefault="00152C7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Téc. e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881F38" w14:paraId="7D2F614A" w14:textId="77777777" w:rsidTr="002A7189">
        <w:trPr>
          <w:trHeight w:val="73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44C85223" w:rsidR="007326CF" w:rsidRPr="002A7189" w:rsidRDefault="00BB7825" w:rsidP="00B6071E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152C7C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</w:t>
            </w:r>
            <w:r w:rsidR="000F40BE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32</w:t>
            </w:r>
            <w:r w:rsidRPr="00152C7C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BB7825" w:rsidRPr="00881F38" w14:paraId="5DE43FC3" w14:textId="77777777" w:rsidTr="002A7189">
        <w:trPr>
          <w:trHeight w:val="253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965D92" w:rsidRPr="00823223" w:rsidRDefault="00131ADC" w:rsidP="00585E4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965D92" w:rsidRPr="00823223" w:rsidRDefault="00965D92" w:rsidP="00585E4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585E4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7988AC87" w14:textId="77777777" w:rsidR="005E7AEC" w:rsidRPr="005E7AE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>Memorando 023/2022: sugestão de alteração da Deliberação DCEP-CAU/MG n° 163.5/2020;</w:t>
            </w:r>
          </w:p>
          <w:p w14:paraId="0B4FA378" w14:textId="77777777" w:rsidR="005E7AEC" w:rsidRPr="005E7AE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>Análise sobre atribuições profissionais do Conselho Federal dos Técnicos Industriais;</w:t>
            </w:r>
          </w:p>
          <w:p w14:paraId="093EDFC7" w14:textId="77777777" w:rsidR="005E7AEC" w:rsidRPr="005E7AE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>Fiscalização de empresas: CNAEs de Arquitetura e Urbanismo (Deliberação CEP-CAU/BR 038-2020; Deliberação CEP CAU-MG 168.2.1.2020; Deliberação CEP CAU-MG 169.3.1.2020);</w:t>
            </w:r>
          </w:p>
          <w:p w14:paraId="74659EC4" w14:textId="01C8A0C9" w:rsidR="005E7AEC" w:rsidRPr="005E7AE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Fiscalização de editais: análise da 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(</w:t>
            </w: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>De olho nos editais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06590E9C" w14:textId="4E6ACFF8" w:rsidR="00043280" w:rsidRPr="00823223" w:rsidRDefault="00043280" w:rsidP="00585E4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2FC95964" w14:textId="77777777" w:rsidR="005E7AEC" w:rsidRPr="003A5EA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Análise sobre interposição de recurso quanto a indeferimento pelo Setor Técnico do CAU/MG ao pedido de interrupção de Registro Profissional, Protocolo SICCAU n° 1580354/2022;</w:t>
            </w:r>
          </w:p>
          <w:p w14:paraId="5A770F71" w14:textId="77777777" w:rsidR="005E7AEC" w:rsidRPr="003A5EA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Análise sobre interposição de recurso quanto a indeferimento pelo Setor Técnico do CAU/MG ao pedido de interrupção de Registro Profissional, Protocolo SICCAU n° 593212/2017;</w:t>
            </w:r>
          </w:p>
          <w:p w14:paraId="0AAD274D" w14:textId="6014553F" w:rsidR="005E7AEC" w:rsidRPr="005E7AE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Revisão de procedimento estabelecido pela Portaria Regulamentadora CAU/MG n° 05/2012.</w:t>
            </w:r>
          </w:p>
          <w:p w14:paraId="08319BA7" w14:textId="55369F42" w:rsidR="00965D92" w:rsidRPr="00823223" w:rsidRDefault="00965D92" w:rsidP="00585E4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101675F9" w14:textId="77777777" w:rsidR="005E7AEC" w:rsidRPr="003A5EAC" w:rsidRDefault="005E7AEC" w:rsidP="005E7AEC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Apreciação e manifestação sobre questionamento referente a atribuições profissionais, encaminhado por mensagem eletrônica por funcionário da Prefeitura Municipal de Belo Horizonte: atividades previstas na Resolução CONAMA n° 316, especificamente, art. 28, sistema de tratamento térmico de resíduos;</w:t>
            </w:r>
          </w:p>
          <w:p w14:paraId="48B89D36" w14:textId="77777777" w:rsidR="005E7AEC" w:rsidRPr="003A5EA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Apreciação do Parecer Jurídico GJ-CAU/MG N° 25/2021, que trata de impugnação de editais de contratação por pregão de serviços de Arquitetura e Urbanismo, Protocolo SICCAU N° 1270051/2021;</w:t>
            </w:r>
          </w:p>
          <w:p w14:paraId="6D73EC98" w14:textId="77777777" w:rsidR="005E7AEC" w:rsidRPr="003A5EA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Memorando GEPLAN n° 06/2022: Listagem de Atividades profissionais fornecida pelo IEPHA, Protocolo SICCAU n° 1563053/2022;</w:t>
            </w:r>
          </w:p>
          <w:p w14:paraId="1348641B" w14:textId="77777777" w:rsidR="005E7AEC" w:rsidRPr="003A5EA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ind w:hanging="50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Memorando GEPLAN 007/2022 que trata das verificações para a Terceira Avaliação e Revisão do Plano de Ação do CAU/MG 2021-2023, Protocolo SICCAU n° 1591424/2022;</w:t>
            </w:r>
          </w:p>
          <w:p w14:paraId="33EC6CCB" w14:textId="7BC4E068" w:rsidR="005E7AEC" w:rsidRPr="005E7AEC" w:rsidRDefault="005E7AEC" w:rsidP="005E7AEC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ind w:hanging="50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DCEP-CAU/BR n° 018/2022, que trata da revogação das Deliberações da CEP-CAU/BR que contêm restrições quanto à atribuições profissionais.</w:t>
            </w:r>
          </w:p>
          <w:p w14:paraId="50865B1A" w14:textId="2EB8F23B" w:rsidR="00043280" w:rsidRPr="00823223" w:rsidRDefault="00043280" w:rsidP="00585E4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6B776EB2" w14:textId="51FAE02F" w:rsidR="004C029D" w:rsidRDefault="004C029D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Solicitação de agendamento de reuniões extraordinárias para julgamento de processos.</w:t>
            </w:r>
          </w:p>
          <w:p w14:paraId="32EA3446" w14:textId="4B4000EA" w:rsidR="00585E41" w:rsidRPr="00585E41" w:rsidRDefault="00585E41" w:rsidP="00585E41">
            <w:pPr>
              <w:pStyle w:val="PargrafodaLista"/>
              <w:suppressAutoHyphens w:val="0"/>
              <w:spacing w:line="276" w:lineRule="auto"/>
              <w:ind w:left="792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881F38" w14:paraId="2C53EF2C" w14:textId="77777777" w:rsidTr="002A7189">
        <w:trPr>
          <w:trHeight w:val="7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lastRenderedPageBreak/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18BA7D5F" w14:textId="77777777" w:rsidR="00965D92" w:rsidRDefault="00AC7117" w:rsidP="00111A5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16C1375" w14:textId="4102AE8F" w:rsidR="00FF5305" w:rsidRPr="00FF5305" w:rsidRDefault="00FF5305" w:rsidP="00FF5305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881F38" w14:paraId="38591EB0" w14:textId="77777777" w:rsidTr="00A14D5E">
        <w:trPr>
          <w:trHeight w:val="508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AAE8535" w14:textId="4A5FBF75" w:rsidR="00BB7825" w:rsidRDefault="00BB7825" w:rsidP="00F64A1C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4C029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B949CB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4C029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431FDC74" w14:textId="6820BAE3" w:rsidR="002A7189" w:rsidRPr="002A7189" w:rsidRDefault="002A7189" w:rsidP="00F64A1C">
            <w:pPr>
              <w:suppressLineNumbers/>
              <w:spacing w:line="25" w:lineRule="atLeast"/>
              <w:jc w:val="both"/>
              <w:rPr>
                <w:sz w:val="10"/>
                <w:szCs w:val="10"/>
                <w:lang w:val="pt-BR"/>
              </w:rPr>
            </w:pP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881F38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881F38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1981358" w14:textId="0A24DAA6" w:rsidR="000A0FF9" w:rsidRDefault="0062317D" w:rsidP="00B62B6E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Foram julgados, na presente sessão, </w:t>
            </w:r>
            <w:r w:rsidR="003C0162" w:rsidRPr="003C0162">
              <w:rPr>
                <w:rFonts w:asciiTheme="majorHAnsi" w:hAnsiTheme="majorHAnsi"/>
                <w:sz w:val="20"/>
                <w:szCs w:val="20"/>
                <w:lang w:val="pt-BR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de Fiscalização, tendo sido 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apresentados </w:t>
            </w:r>
            <w:r w:rsidR="003C0162" w:rsidRPr="003C0162">
              <w:rPr>
                <w:rFonts w:asciiTheme="majorHAnsi" w:hAnsiTheme="majorHAnsi"/>
                <w:sz w:val="20"/>
                <w:szCs w:val="20"/>
                <w:lang w:val="pt-BR"/>
              </w:rPr>
              <w:t>08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pelo Cons. Ademir Nogueira, </w:t>
            </w:r>
            <w:r w:rsidR="003C0162" w:rsidRPr="003C0162">
              <w:rPr>
                <w:rFonts w:asciiTheme="majorHAnsi" w:hAnsiTheme="majorHAnsi"/>
                <w:sz w:val="20"/>
                <w:szCs w:val="20"/>
                <w:lang w:val="pt-BR"/>
              </w:rPr>
              <w:t>04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pelo Cons. Lucas Leonel, </w:t>
            </w:r>
            <w:r w:rsidR="003C0162" w:rsidRPr="003C0162">
              <w:rPr>
                <w:rFonts w:asciiTheme="majorHAnsi" w:hAnsiTheme="majorHAnsi"/>
                <w:sz w:val="20"/>
                <w:szCs w:val="20"/>
                <w:lang w:val="pt-BR"/>
              </w:rPr>
              <w:t>07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pelo Cons. Felipe Moura e </w:t>
            </w:r>
            <w:r w:rsidR="003C0162" w:rsidRPr="003C0162">
              <w:rPr>
                <w:rFonts w:asciiTheme="majorHAnsi" w:hAnsiTheme="majorHAnsi"/>
                <w:sz w:val="20"/>
                <w:szCs w:val="20"/>
                <w:lang w:val="pt-BR"/>
              </w:rPr>
              <w:t>04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pela Cons. Luciana Bracarense, nos termos do Extrato de Julgamento de Processos de Fiscalização elaborado pela Assessoria Técnica da CEP-CAU/MG.  </w:t>
            </w:r>
          </w:p>
          <w:p w14:paraId="77D80C15" w14:textId="363C47B7" w:rsidR="00B62B6E" w:rsidRPr="00823223" w:rsidRDefault="00B62B6E" w:rsidP="00B62B6E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881F38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A8E20BC" w14:textId="77777777" w:rsidR="00297C50" w:rsidRPr="00297C50" w:rsidRDefault="00297C50" w:rsidP="00DA4678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4122AA72" w14:textId="04F79C91" w:rsidR="00A12223" w:rsidRDefault="000E2C7B" w:rsidP="000E2C7B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1.1. </w:t>
            </w:r>
            <w:r w:rsidR="0062317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Foram emitidas </w:t>
            </w:r>
            <w:r w:rsidR="0062317D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</w:t>
            </w:r>
            <w:r w:rsidR="0062317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62317D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62317D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</w:t>
            </w:r>
            <w:r w:rsidR="0062317D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="0062317D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62317D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62317D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</w:t>
            </w:r>
            <w:r w:rsidR="0062317D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 197.1</w:t>
            </w:r>
            <w:r w:rsidR="0062317D" w:rsidRPr="003C016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C0162" w:rsidRPr="003C016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23</w:t>
            </w:r>
            <w:r w:rsidR="0062317D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="0062317D"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62317D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62317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referentes aos julgamentos </w:t>
            </w:r>
            <w:r w:rsidR="003C0162" w:rsidRPr="003C0162">
              <w:rPr>
                <w:rFonts w:asciiTheme="majorHAnsi" w:hAnsiTheme="majorHAnsi"/>
                <w:sz w:val="20"/>
                <w:szCs w:val="20"/>
                <w:lang w:val="pt-BR"/>
              </w:rPr>
              <w:t>23</w:t>
            </w:r>
            <w:r w:rsidR="0062317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de Fiscalização, nos termos do Extrato de Julgamento de Processos de Fiscalização elaborado pela Assessoria Técnica da CEP-CAU/MG. As deliberações foram encaminhadas à Presidência do CAU/MG, por meio do Sistema SICCAU, para remessa </w:t>
            </w:r>
            <w:r w:rsidR="0062317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ao Plenário do CAU/MG</w:t>
            </w:r>
            <w:r w:rsidR="00297C5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. O Extrato de Julgamento foi encaminhado para publicação no Portal da Transparência.</w:t>
            </w:r>
          </w:p>
          <w:p w14:paraId="36C26159" w14:textId="1BF27FEF" w:rsidR="00297C50" w:rsidRPr="00A07397" w:rsidRDefault="00297C50" w:rsidP="00DA4678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881F38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881F38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881F38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29EDB4E" w14:textId="77777777" w:rsidR="00B62B6E" w:rsidRDefault="00B62B6E" w:rsidP="00177C81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Não foram nomeados relatores para processos de fiscalização nesta sessão.</w:t>
            </w:r>
          </w:p>
          <w:p w14:paraId="34A7A2F2" w14:textId="022AE4F9" w:rsidR="00ED3763" w:rsidRPr="00981C59" w:rsidRDefault="00675FC1" w:rsidP="00177C81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41D12" w:rsidRPr="006B42D0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2A3E125C" w:rsidR="00ED3763" w:rsidRPr="00740BCD" w:rsidRDefault="00981C59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</w:t>
            </w:r>
            <w:r w:rsidR="00B62B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houve. </w:t>
            </w:r>
          </w:p>
        </w:tc>
      </w:tr>
      <w:bookmarkEnd w:id="0"/>
      <w:tr w:rsidR="00A07397" w:rsidRPr="006B42D0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1B77" w14:textId="77777777" w:rsidR="008E3C61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8E3C6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881F38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99C6402" w14:textId="41A3F41F" w:rsidR="00297C50" w:rsidRDefault="00297C50" w:rsidP="00297C5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>Memorando 023/2022: sugestão de alteração da Deliberação DCEP-CAU/MG n° 163.5/2020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9D91DC8" w14:textId="5363DBDD" w:rsidR="00297C50" w:rsidRPr="005E7AEC" w:rsidRDefault="006A3525" w:rsidP="00297C5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Na sequência das discussões iniciadas na Reunião Ordinária </w:t>
            </w:r>
            <w:r w:rsidR="003C0162" w:rsidRPr="003C0162">
              <w:rPr>
                <w:rFonts w:asciiTheme="majorHAnsi" w:hAnsiTheme="majorHAnsi"/>
                <w:sz w:val="20"/>
                <w:szCs w:val="20"/>
                <w:lang w:val="pt-BR"/>
              </w:rPr>
              <w:t>193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/2022, os membros da Comissão procederam com o esclarecimento de dúvidas apresentadas pelo Setor de Fiscalização do CAU/MG, no que se refere à interpretação de trechos do normativo em epígrafe. Após os esclarecimentos, procedeu-se com a reformulação do texto da deliberação, que passa a vigorar nos termos aprovados nesta sessão.</w:t>
            </w:r>
          </w:p>
          <w:p w14:paraId="4FB55D6B" w14:textId="5136AF10" w:rsidR="00297C50" w:rsidRDefault="00297C50" w:rsidP="00297C5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>Análise sobre atribuições profissionais do Conselho Federal dos Técnicos Industriais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39E6E695" w14:textId="6AF835FD" w:rsidR="00297C50" w:rsidRPr="005E7AEC" w:rsidRDefault="00B9711E" w:rsidP="00297C5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Considerando manifestação de profissional, encaminhada à Gerência Técnica e de Fiscalização, por meio de mensagem eletrônica, apreciou-se a Resoluç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ão </w:t>
            </w:r>
            <w:r w:rsidR="003C0162" w:rsidRPr="003C0162">
              <w:rPr>
                <w:rFonts w:asciiTheme="majorHAnsi" w:hAnsiTheme="majorHAnsi"/>
                <w:sz w:val="20"/>
                <w:szCs w:val="20"/>
                <w:lang w:val="pt-BR"/>
              </w:rPr>
              <w:t>089/2019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CFTI.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membros da CEP-CAU/MG decidiram pelo encaminhamento da situação tanto à Gerência Jurídica do CAU/MG quanto à CEP-CAU/BR, para conhecimento e análise de providências cabíveis.</w:t>
            </w:r>
          </w:p>
          <w:p w14:paraId="7BCDB0A7" w14:textId="0DE3DBE2" w:rsidR="00297C50" w:rsidRDefault="00297C50" w:rsidP="00297C5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>Fiscalização de empresas: CNAEs de Arquitetura e Urbanismo (Deliberação CEP-CAU/BR 038-2020; Deliberação CEP CAU-MG 168.2.1.2020; Deliberação CEP CAU-MG 169.3.1.2020)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79772E83" w14:textId="13A5D760" w:rsidR="00297C50" w:rsidRPr="005E7AEC" w:rsidRDefault="00AF07DE" w:rsidP="00297C5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análise das deliberações em epígrafe e considerações sobre a necessidade de adaptação dos normativos vigentes no âmbito do CAU/MG, os membros da Comissão decidiram que os atuais normativos são suficientes, não tendo sido deliberada nenhuma alteração;</w:t>
            </w:r>
          </w:p>
          <w:p w14:paraId="1CFEEE42" w14:textId="18AFE4DF" w:rsidR="00297C50" w:rsidRDefault="00297C50" w:rsidP="00297C5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Fiscalização de editais: análise da 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(</w:t>
            </w:r>
            <w:r w:rsidRPr="005E7AEC">
              <w:rPr>
                <w:rFonts w:asciiTheme="majorHAnsi" w:hAnsiTheme="majorHAnsi"/>
                <w:sz w:val="20"/>
                <w:szCs w:val="20"/>
                <w:lang w:val="pt-BR"/>
              </w:rPr>
              <w:t>De olho nos editais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  <w:r w:rsidR="003C0162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075D399" w14:textId="33F9F11A" w:rsidR="00297C50" w:rsidRDefault="003C0162" w:rsidP="00297C5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Gerente Técnica e de Fiscalização do CAU/MG apresentou informações referentes à fiscalização de editais de licitação e suas respectivas situações</w:t>
            </w:r>
            <w:r w:rsidR="00200E35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dados do ano </w:t>
            </w:r>
            <w:r w:rsidR="00200E35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corrente. Mediante análise das informações, os membros da CEP-CAU/MG sugeriram pela implementação de medidas específicas para a fiscalização de editais referentes a serviços técnicos relativos a atividades privativas do campo da arquitetura e urbanismo, ou seja, do patrimônio cultural, do planejamento urbano e da regularização fundiária, tendo em vista o baixo grau de regularização de editais desta natureza. Foi solicitado ainda da Gerente Técnica e de Fiscalização do CAU/MG a apresentação, para a próxima reunião ordinária desta Comissão, do histórico de regularização de editais desde o início desta ação de fiscalização, a fim de que se tenha um panorama mais completo sobre a efetividade das ações.</w:t>
            </w:r>
          </w:p>
          <w:p w14:paraId="4B106DC3" w14:textId="1CD32153" w:rsidR="00B62B6E" w:rsidRPr="00B62B6E" w:rsidRDefault="00B62B6E" w:rsidP="00B62B6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881F38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7E95E6" w14:textId="77777777" w:rsidR="00FF5305" w:rsidRP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C65AB4D" w14:textId="5086A455" w:rsidR="00A70422" w:rsidRDefault="00A70422" w:rsidP="0070791B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</w:t>
            </w:r>
            <w:r w:rsidR="0070791B"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Foi e</w:t>
            </w:r>
            <w:r w:rsidR="0070791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mitida </w:t>
            </w:r>
            <w:r w:rsidR="0070791B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70791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</w:t>
            </w:r>
            <w:r w:rsidR="0070791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="0070791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70791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70791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.1/2022 – DCEP-CAU/MG</w:t>
            </w:r>
            <w:r w:rsidR="0070791B"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70791B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70791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com a aprovação das alterações discutidas, e foi </w:t>
            </w:r>
            <w:r w:rsidR="0070791B">
              <w:rPr>
                <w:rFonts w:asciiTheme="majorHAnsi" w:hAnsiTheme="majorHAnsi"/>
                <w:sz w:val="20"/>
                <w:szCs w:val="20"/>
                <w:lang w:val="pt-BR"/>
              </w:rPr>
              <w:t>encaminhada à Presidência do CAU/MG, por meio do Protocolo SICCAU n°</w:t>
            </w:r>
            <w:r w:rsidR="0070791B" w:rsidRPr="00F810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8106E" w:rsidRPr="00F8106E">
              <w:rPr>
                <w:rFonts w:asciiTheme="majorHAnsi" w:hAnsiTheme="majorHAnsi"/>
                <w:sz w:val="20"/>
                <w:szCs w:val="20"/>
                <w:lang w:val="pt-BR"/>
              </w:rPr>
              <w:t>1637666/2022</w:t>
            </w:r>
            <w:r w:rsidR="0070791B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providências;</w:t>
            </w:r>
          </w:p>
          <w:p w14:paraId="1929869D" w14:textId="6D00D6B3" w:rsidR="0070791B" w:rsidRDefault="0070791B" w:rsidP="0070791B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</w:t>
            </w:r>
            <w:r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Foi e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com o registro das discussões da matéria, e foi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encaminhada à Presidência do CAU/MG, por meio do Protocolo SICCAU n°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C0162" w:rsidRPr="003C0162">
              <w:rPr>
                <w:rFonts w:asciiTheme="majorHAnsi" w:hAnsiTheme="majorHAnsi"/>
                <w:sz w:val="20"/>
                <w:szCs w:val="20"/>
                <w:lang w:val="pt-BR"/>
              </w:rPr>
              <w:t>1622838</w:t>
            </w:r>
            <w:r w:rsid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/2022, para conhecimento e providências;</w:t>
            </w:r>
          </w:p>
          <w:p w14:paraId="354D1375" w14:textId="4EB99009" w:rsidR="0070791B" w:rsidRDefault="0070791B" w:rsidP="0070791B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3.3. Não houve emissão de Deliberação sobre a matéria;</w:t>
            </w:r>
          </w:p>
          <w:p w14:paraId="4C5B2ABC" w14:textId="194B1C1A" w:rsidR="0070791B" w:rsidRDefault="0070791B" w:rsidP="00AD6EF2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3.4. </w:t>
            </w:r>
            <w:r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Foi e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AD6EF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AD6EF2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alteração de procedimentos de fiscalização de editais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, e foi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encaminhada à Presidência do CAU/MG, por meio do Protocolo SICCAU n°</w:t>
            </w:r>
            <w:r w:rsidRPr="00F810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8106E" w:rsidRPr="00F8106E">
              <w:rPr>
                <w:rFonts w:asciiTheme="majorHAnsi" w:hAnsiTheme="majorHAnsi"/>
                <w:sz w:val="20"/>
                <w:szCs w:val="20"/>
                <w:lang w:val="pt-BR"/>
              </w:rPr>
              <w:t>1637669/2022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providências.</w:t>
            </w:r>
          </w:p>
          <w:p w14:paraId="78F92DA0" w14:textId="7709C1C2" w:rsidR="00AD6EF2" w:rsidRPr="000962B4" w:rsidRDefault="00AD6EF2" w:rsidP="00AD6EF2">
            <w:pPr>
              <w:pStyle w:val="PargrafodaLista"/>
              <w:spacing w:line="276" w:lineRule="auto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881F38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881F38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881F38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823223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4FFF585F" w14:textId="63C34E70" w:rsidR="005C1CB0" w:rsidRDefault="005C1CB0" w:rsidP="005C1CB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Análise sobre interposição de recurso quanto a indeferimento pelo Setor Técnico do CAU/MG ao pedido de interrupção de Registro Profissional, Protocolo SICCAU n° 1580354/2022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5433DA9" w14:textId="08C8F86A" w:rsidR="005C1CB0" w:rsidRPr="005E7AEC" w:rsidRDefault="00EC65AE" w:rsidP="005C1CB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65AE">
              <w:rPr>
                <w:rFonts w:asciiTheme="majorHAnsi" w:hAnsiTheme="majorHAnsi"/>
                <w:sz w:val="20"/>
                <w:szCs w:val="20"/>
                <w:lang w:val="pt-BR"/>
              </w:rPr>
              <w:t>Foi apreciado recurso da requerente do processo em epígrafe, que solicitou interrupção de registro profissional retroativamente à data que especifica, nos termos dos documentos apensados ao processo.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análise e discussões, a CEP-CAU/MG decidiu por acolher as contrarrazões apresentadas, nos termos da deliberação emitida sobre a matéria.</w:t>
            </w:r>
            <w:r w:rsidRPr="00EC65A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11EE0D28" w14:textId="0B1F975A" w:rsidR="005C1CB0" w:rsidRDefault="005C1CB0" w:rsidP="005C1CB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Análise sobre interposição de recurso quanto a indeferimento pelo Setor Técnico do CAU/MG ao pedido de interrupção de Registro Profissional, Protocolo SICCAU n° 593212/2017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CCD7E2E" w14:textId="6BF9D8E9" w:rsidR="00EC65AE" w:rsidRPr="005E7AEC" w:rsidRDefault="00EC65AE" w:rsidP="00EC65A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65A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apreciado recurso da requerente do processo em epígrafe, que solicitou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cancelamento definitivo do seu</w:t>
            </w:r>
            <w:r w:rsidRPr="00EC65A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</w:t>
            </w:r>
            <w:r w:rsidRPr="00EC65A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egistro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Pr="00EC65AE">
              <w:rPr>
                <w:rFonts w:asciiTheme="majorHAnsi" w:hAnsiTheme="majorHAnsi"/>
                <w:sz w:val="20"/>
                <w:szCs w:val="20"/>
                <w:lang w:val="pt-BR"/>
              </w:rPr>
              <w:t>rofissional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Pr="00EC65A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retroativamente à data que especifica, nos termos dos documentos apensados ao processo.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análise e discussões, a CEP-CAU/MG decidiu por acolher as contrarrazões apresentadas, conforme deliberação emitida sobre a matéria e encaminhada ao Plenário do CAU/MG.</w:t>
            </w:r>
            <w:r w:rsidRPr="00EC65A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747B666F" w14:textId="6634E589" w:rsidR="005C1CB0" w:rsidRDefault="005C1CB0" w:rsidP="005C1CB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Revisão de procedimento estabelecido pela Portaria Regulamentadora CAU/MG n° 05/2012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49081D6" w14:textId="4DD923D9" w:rsidR="005C1CB0" w:rsidRPr="005E7AEC" w:rsidRDefault="00271697" w:rsidP="005C1CB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Gerente Técnica e de Fiscalização expôs situação referente a procedimentos adotados pela área técnica do CAU/MG, em 2016, sobre alteração de Registros Profissionais de pessoas físicas provenientes do CREA/MG, em função de normativo (Portaria) elaborado internamente, contudo, nunca oficializado (publicado). Decidiu-se que os casos serão analisados isoladamente, e apresentados à CEP-CAU/MG, para apreciação, quando as correções necessárias extrapolarem as competências da Gerência Técnica.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881F38" w14:paraId="09A1C90F" w14:textId="77777777" w:rsidTr="00A14D5E">
        <w:trPr>
          <w:trHeight w:val="34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7CFFC73" w14:textId="77777777" w:rsidR="0042294A" w:rsidRPr="0042294A" w:rsidRDefault="0042294A" w:rsidP="00BC4309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4FDEBA44" w14:textId="38EF1F7C" w:rsidR="00AF07DE" w:rsidRDefault="00AF07DE" w:rsidP="00AF07D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4.1. </w:t>
            </w:r>
            <w:r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Foi e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.1/2022 – DCEP-CAU/MG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deferiu recurso interposto por requerente em relação a alteração de Registro Profissional de pessoa física, e foi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encaminhada à Presidência do CAU/MG, por meio do Protocolo SICCAU n°</w:t>
            </w:r>
            <w:r w:rsidRPr="00297C50"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  <w:t xml:space="preserve"> </w:t>
            </w: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1580354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/2022, para conhecimento e providências;</w:t>
            </w:r>
          </w:p>
          <w:p w14:paraId="2E9C9E91" w14:textId="0106E64A" w:rsidR="00AF07DE" w:rsidRDefault="00AF07DE" w:rsidP="00AF07D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4.2. </w:t>
            </w:r>
            <w:r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Foi e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deferiu recurso interposto por requerente em relação a alteração de Registro Profissional de pessoa física, e foi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encaminhada à Presidência do CAU/MG, por meio do Protocolo SICCAU n°</w:t>
            </w:r>
            <w:r w:rsidRPr="00297C50"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  <w:t xml:space="preserve"> </w:t>
            </w: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593212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/2022, para conhecimento e providências;</w:t>
            </w:r>
          </w:p>
          <w:p w14:paraId="497BFA24" w14:textId="03A5FE5E" w:rsidR="00AF07DE" w:rsidRDefault="00AF07DE" w:rsidP="00AF07D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4.3. Não houve emissão de Deliberação sobre a matéria;</w:t>
            </w:r>
          </w:p>
          <w:p w14:paraId="1CD3EFC3" w14:textId="2A7759CC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881F38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881F38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280DC715" w14:textId="558B252A" w:rsidR="005C1CB0" w:rsidRDefault="005C1CB0" w:rsidP="005C1CB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Apreciação e manifestação sobre questionamento referente a atribuições profissionais, encaminhado por mensagem eletrônica por funcionário da Prefeitura Municipal de Belo Horizonte: atividades previstas na Resolução CONAMA n° 316, especificamente, art. 28, sistema de tratamento térmico de resíduos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82C6404" w14:textId="3B565C35" w:rsidR="00145062" w:rsidRPr="00145062" w:rsidRDefault="00145062" w:rsidP="005C1CB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análise da matéria, a C</w:t>
            </w:r>
            <w:r w:rsidRPr="00145062">
              <w:rPr>
                <w:rFonts w:asciiTheme="majorHAnsi" w:hAnsiTheme="majorHAnsi"/>
                <w:sz w:val="20"/>
                <w:szCs w:val="20"/>
                <w:lang w:val="pt-BR"/>
              </w:rPr>
              <w:t>omissão decidiu por orientar à Assessoria Técnica da CEP-CAU/MG a informar ao requerente que, após consulta à legislação e normativos vigentes, não foram encontrados fundamentos suficientes para afirmar que profissionais arquitetos e urbanistas possam se responsabilizar sobre as atividades técnicas questionadas;</w:t>
            </w:r>
          </w:p>
          <w:p w14:paraId="339B35F0" w14:textId="7B6370EE" w:rsidR="005C1CB0" w:rsidRDefault="005C1CB0" w:rsidP="005C1CB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Apreciação do Parecer Jurídico GJ-CAU/MG N° 25/2021, que trata de impugnação de editais de contratação por pregão de serviços de Arquitetura e Urbanismo, Protocolo SICCAU N° 1270051/2021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DF8B2EC" w14:textId="198351E6" w:rsidR="005C1CB0" w:rsidRPr="005E7AEC" w:rsidRDefault="006A3525" w:rsidP="005C1CB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Item retirado de pauta, uma vez que as discussões sobre a matéria foram absorvidas pela deliberação emitida no item 3.2 da presente sessão.</w:t>
            </w:r>
          </w:p>
          <w:p w14:paraId="647112B3" w14:textId="24368A03" w:rsidR="005C1CB0" w:rsidRDefault="005C1CB0" w:rsidP="005C1CB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Memorando GEPLAN n° 06/2022: Listagem de Atividades profissionais fornecida pelo IEPHA, Protocolo SICCAU n° 1563053/2022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3774EC0" w14:textId="418D9D95" w:rsidR="00145062" w:rsidRPr="00145062" w:rsidRDefault="00145062" w:rsidP="00145062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bookmarkStart w:id="1" w:name="_Hlk115786302"/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análise da matéria, a C</w:t>
            </w:r>
            <w:r w:rsidRPr="001450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omissão decidiu aprovar a inclusão de novas informações àquelas inicialmente apresentadas, mediante revisão/atualização da planilha eletrônica de que trata o Memorando n° 006/2022 – GEPLAN-CAU/MG, na qual constam as contribuições </w:t>
            </w:r>
            <w:bookmarkEnd w:id="1"/>
            <w:r w:rsidRPr="00145062">
              <w:rPr>
                <w:rFonts w:asciiTheme="majorHAnsi" w:hAnsiTheme="majorHAnsi"/>
                <w:sz w:val="20"/>
                <w:szCs w:val="20"/>
                <w:lang w:val="pt-BR"/>
              </w:rPr>
              <w:t>desta Comissão para a “Listagem de atividades de intervenção em bens ou áreas protegidas em âmbito estadual autorizadas ou acompanhadas pela Diretoria de Conservação e Restauração”. A versão aprovada foi anexada à deliberação emitida.</w:t>
            </w:r>
          </w:p>
          <w:p w14:paraId="60E7470D" w14:textId="1568B1C5" w:rsidR="005C1CB0" w:rsidRDefault="005C1CB0" w:rsidP="005C1CB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Memorando GEPLAN 007/2022 que trata das verificações para a Terceira Avaliação e Revisão do Plano de Ação do CAU/MG 2021-2023, Protocolo SICCAU n° 1591424/2022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9C6229E" w14:textId="7C148D80" w:rsidR="005C1CB0" w:rsidRPr="005E7AEC" w:rsidRDefault="00A1772B" w:rsidP="005C1CB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Conforme solicitação do memorando em epígrafe, foram revistas as ações da CEP para o corrente ano. Após considerações dos presentes, foram aprovadas</w:t>
            </w:r>
            <w:r w:rsidRPr="00A177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revisões, nos termos do anexo</w:t>
            </w:r>
            <w:r w:rsidRPr="00A177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A177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respectiva </w:t>
            </w:r>
            <w:r w:rsidRPr="00A177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mediante </w:t>
            </w:r>
            <w:r w:rsidRPr="00A177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atualização da planilha eletrônica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inicialmente encaminhada pela GEPLAN.</w:t>
            </w:r>
          </w:p>
          <w:p w14:paraId="239D9863" w14:textId="6E129190" w:rsidR="005C1CB0" w:rsidRDefault="005C1CB0" w:rsidP="005C1CB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A5EAC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DCEP-CAU/BR n° 018/2022, que trata da revogação das Deliberações da CEP-CAU/BR que contêm restrições quanto à atribuições profissionais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9D050B2" w14:textId="32A71DFA" w:rsidR="005C1CB0" w:rsidRPr="005E7AEC" w:rsidRDefault="00A1772B" w:rsidP="005C1CB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Foram discutidas questões sobre o fluxo do encaminhamento interno de demandas referentes a dúvidas acerca de atribuições profissionais no campo da arquitetura e urbanismo. A Gerente Técnica e de Fiscalização do CAU/MG apresentou planilha eletrônica com compilado de normativos internos (vigentes e revogados), que está sendo utilizado pelo Setor Técnico do CAU/MG para resposta de dúvidas. O Coordenador da Comissão informou que este tema será objeto de debates mais aprofundados no </w:t>
            </w:r>
            <w:r w:rsidR="00881F38">
              <w:rPr>
                <w:rFonts w:asciiTheme="majorHAnsi" w:hAnsiTheme="majorHAnsi"/>
                <w:sz w:val="20"/>
                <w:szCs w:val="20"/>
                <w:lang w:val="pt-BR"/>
              </w:rPr>
              <w:t>Seminário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Fiscalização, que será realizado pela CEP-CAU/BR, em Brasília, nos dias 18 e 19 de outubro. O setor técnico foi orientado a manter as ações da forma como vêm ocorrendo, até que haja novas orientações por parte do CAU/BR, ou após as discussões do evento mencionado. </w:t>
            </w: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881F38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4BC3236B" w14:textId="6B154319" w:rsidR="004A48DF" w:rsidRDefault="00D01DD9" w:rsidP="005C1CB0">
            <w:pPr>
              <w:pStyle w:val="PargrafodaLista"/>
              <w:ind w:left="360"/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</w:t>
            </w:r>
            <w:r w:rsidR="00467293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467293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467293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</w:t>
            </w:r>
            <w:r w:rsidR="0014506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145062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19</w:t>
            </w:r>
            <w:r w:rsidR="0014506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="00145062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14506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="00145062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14506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145062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="00145062"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145062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145062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encaminha resposta quanto a consulta sobre atribuições profissionais</w:t>
            </w:r>
            <w:r w:rsidR="00145062">
              <w:rPr>
                <w:rFonts w:asciiTheme="majorHAnsi" w:hAnsiTheme="majorHAnsi"/>
                <w:sz w:val="20"/>
                <w:szCs w:val="20"/>
                <w:lang w:val="pt-BR"/>
              </w:rPr>
              <w:t>, por meio do Protocolo SICCAU n°</w:t>
            </w:r>
            <w:r w:rsidR="00145062" w:rsidRPr="001450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1637892</w:t>
            </w:r>
            <w:r w:rsidR="00145062">
              <w:rPr>
                <w:rFonts w:asciiTheme="majorHAnsi" w:hAnsiTheme="majorHAnsi"/>
                <w:sz w:val="20"/>
                <w:szCs w:val="20"/>
                <w:lang w:val="pt-BR"/>
              </w:rPr>
              <w:t>/2022, para conhecimento e providências;</w:t>
            </w:r>
            <w:r w:rsidR="00467293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  <w:p w14:paraId="1832919F" w14:textId="52AF2F33" w:rsidR="008B7ED0" w:rsidRDefault="008B7ED0" w:rsidP="008B7ED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5.2. Não houve emissão de Deliberação sobre a matéria;</w:t>
            </w:r>
          </w:p>
          <w:p w14:paraId="13612A6F" w14:textId="631A7863" w:rsidR="008B7ED0" w:rsidRDefault="008B7ED0" w:rsidP="008B7ED0">
            <w:pPr>
              <w:pStyle w:val="PargrafodaLista"/>
              <w:ind w:left="360"/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5.3. </w:t>
            </w:r>
            <w:r w:rsidR="00A1772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A1772B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</w:t>
            </w:r>
            <w:r w:rsidR="00A1772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19</w:t>
            </w:r>
            <w:r w:rsidR="00A1772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A1772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A1772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="00A1772B"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A1772B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A1772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encaminha resposta quanto à solicitação do IEPHA</w:t>
            </w:r>
            <w:r w:rsidR="00A1772B">
              <w:rPr>
                <w:rFonts w:asciiTheme="majorHAnsi" w:hAnsiTheme="majorHAnsi"/>
                <w:sz w:val="20"/>
                <w:szCs w:val="20"/>
                <w:lang w:val="pt-BR"/>
              </w:rPr>
              <w:t>, por meio do Protocolo SICCAU n°</w:t>
            </w:r>
            <w:r w:rsidR="00A1772B" w:rsidRPr="001450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1772B" w:rsidRPr="003A5EAC">
              <w:rPr>
                <w:rFonts w:asciiTheme="majorHAnsi" w:hAnsiTheme="majorHAnsi"/>
                <w:sz w:val="20"/>
                <w:szCs w:val="20"/>
                <w:lang w:val="pt-BR"/>
              </w:rPr>
              <w:t>1563053/2022</w:t>
            </w:r>
            <w:r w:rsidR="00A1772B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providências;</w:t>
            </w:r>
          </w:p>
          <w:p w14:paraId="4A360EFF" w14:textId="1889ACB7" w:rsidR="008B7ED0" w:rsidRDefault="008B7ED0" w:rsidP="008B7ED0">
            <w:pPr>
              <w:pStyle w:val="PargrafodaLista"/>
              <w:ind w:left="360"/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5.4. </w:t>
            </w:r>
            <w:r w:rsidR="00A1772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A1772B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</w:t>
            </w:r>
            <w:r w:rsidR="00A1772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19</w:t>
            </w:r>
            <w:r w:rsidR="00A1772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A1772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A1772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="00A1772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="00A1772B"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A1772B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A1772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encaminha resposta quanto à revisão do </w:t>
            </w:r>
            <w:r w:rsidR="00A1772B" w:rsidRPr="003A5EAC">
              <w:rPr>
                <w:rFonts w:asciiTheme="majorHAnsi" w:hAnsiTheme="majorHAnsi"/>
                <w:sz w:val="20"/>
                <w:szCs w:val="20"/>
                <w:lang w:val="pt-BR"/>
              </w:rPr>
              <w:t>Plano de Ação do CAU/MG 2021-2023</w:t>
            </w:r>
            <w:r w:rsidR="00A1772B">
              <w:rPr>
                <w:rFonts w:asciiTheme="majorHAnsi" w:hAnsiTheme="majorHAnsi"/>
                <w:sz w:val="20"/>
                <w:szCs w:val="20"/>
                <w:lang w:val="pt-BR"/>
              </w:rPr>
              <w:t>, por meio do Protocolo SICCAU n°</w:t>
            </w:r>
            <w:r w:rsidR="00A1772B" w:rsidRPr="001450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1772B" w:rsidRPr="003A5EAC">
              <w:rPr>
                <w:rFonts w:asciiTheme="majorHAnsi" w:hAnsiTheme="majorHAnsi"/>
                <w:sz w:val="20"/>
                <w:szCs w:val="20"/>
                <w:lang w:val="pt-BR"/>
              </w:rPr>
              <w:t>1591424/2022</w:t>
            </w:r>
            <w:r w:rsidR="00A1772B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providências;</w:t>
            </w:r>
          </w:p>
          <w:p w14:paraId="2C109642" w14:textId="4E4A074C" w:rsidR="008B7ED0" w:rsidRPr="00145062" w:rsidRDefault="008B7ED0" w:rsidP="00145062">
            <w:pPr>
              <w:pStyle w:val="PargrafodaLista"/>
              <w:ind w:left="360"/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5.5. </w:t>
            </w:r>
            <w:r w:rsidR="00A1772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</w:p>
          <w:p w14:paraId="4CA83D49" w14:textId="7FE33DB4" w:rsidR="008B7ED0" w:rsidRPr="00B30203" w:rsidRDefault="008B7ED0" w:rsidP="005C1CB0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881F38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3A54B7C7" w14:textId="6C110A6B" w:rsidR="001F2EC0" w:rsidRDefault="001F2EC0" w:rsidP="001F2EC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Solicitação de agendamento de reuniões extraordinárias para julgamento de processos:</w:t>
            </w:r>
          </w:p>
          <w:p w14:paraId="07AD49B2" w14:textId="57E922CF" w:rsidR="001F2EC0" w:rsidRPr="005E7AEC" w:rsidRDefault="000E2C7B" w:rsidP="001F2EC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coordenador da CEP-CAU/MG comentou de forma positiva sobre as reuniões específicas realizadas para julgamento de Processos de Fiscalização. Dessa forma, solicitou o agendamento de duas reuniões extraordinárias para este fim, a se realizarem nos dias 20 e 26 de outubro de 2022.</w:t>
            </w:r>
          </w:p>
          <w:p w14:paraId="7A12ED40" w14:textId="1DF0E7FD" w:rsidR="008A5872" w:rsidRPr="001F2EC0" w:rsidRDefault="008A5872" w:rsidP="0017617C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E3C61" w:rsidRPr="00881F38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5A8DE4F8" w14:textId="0F38DC85" w:rsidR="00FF5305" w:rsidRDefault="00332BFC" w:rsidP="001F2EC0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6.1. </w:t>
            </w:r>
            <w:r w:rsidR="008A5872"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</w:t>
            </w:r>
            <w:r w:rsidR="000E2C7B"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e</w:t>
            </w:r>
            <w:r w:rsidR="000E2C7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mitida </w:t>
            </w:r>
            <w:r w:rsidR="000E2C7B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0E2C7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</w:t>
            </w:r>
            <w:r w:rsidR="000E2C7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7</w:t>
            </w:r>
            <w:r w:rsidR="000E2C7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0E2C7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="000E2C7B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.1/2022 – DCEP-CAU/MG</w:t>
            </w:r>
            <w:r w:rsidR="000E2C7B"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0E2C7B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0E2C7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com a solicitação de agendamento de reuniões extraordinárias nos dias </w:t>
            </w:r>
            <w:r w:rsidR="000E2C7B">
              <w:rPr>
                <w:rFonts w:asciiTheme="majorHAnsi" w:hAnsiTheme="majorHAnsi"/>
                <w:sz w:val="20"/>
                <w:szCs w:val="20"/>
                <w:lang w:val="pt-BR"/>
              </w:rPr>
              <w:t>20 e 26 de outubro de 2022. A deliberação foi encaminha para a Presidência</w:t>
            </w:r>
            <w:r w:rsidR="00E32A7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CAU/MG, para providências.</w:t>
            </w:r>
          </w:p>
          <w:p w14:paraId="0DEF9778" w14:textId="3A188AB4" w:rsidR="000E2C7B" w:rsidRPr="00A07397" w:rsidRDefault="000E2C7B" w:rsidP="001F2EC0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881F38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61415DED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EF676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257B4">
              <w:rPr>
                <w:rFonts w:asciiTheme="majorHAnsi" w:hAnsiTheme="majorHAnsi"/>
                <w:sz w:val="20"/>
                <w:szCs w:val="20"/>
                <w:lang w:val="pt-BR"/>
              </w:rPr>
              <w:t>Comunicou sobre a previsão de realização de evento pela CEP-CAU/BR, nos dias 18 e 19 de outubro de 2022, para discussões sobre fiscalização e atribuições profissionais. Solicitou que, embora os convites oficiais ainda não tenham sido enviados pelo CAU/BR, os membros da CEP-CAU/MG tentem se organizar para participarem, dada a importância do evento.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486EE7FE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17617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881F38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77777777" w:rsidR="00BC4309" w:rsidRDefault="00BC4309" w:rsidP="009C2FC9">
      <w:pPr>
        <w:rPr>
          <w:sz w:val="12"/>
          <w:szCs w:val="20"/>
          <w:lang w:val="pt-BR"/>
        </w:rPr>
      </w:pPr>
    </w:p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0133B14B" w14:textId="77777777" w:rsidTr="005A425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93EF4" w14:textId="141476D8" w:rsidR="00E70A6D" w:rsidRPr="00306DC0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77777777" w:rsidR="00E70A6D" w:rsidRPr="001F2EC0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1F2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77777777" w:rsidR="00E70A6D" w:rsidRPr="001F2EC0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 w:rsidRPr="001F2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77777777" w:rsidR="00E70A6D" w:rsidRPr="001F2EC0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1F2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:rsidRPr="00EC3313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77777777" w:rsidR="00E70A6D" w:rsidRPr="001F2EC0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pt-BR" w:eastAsia="pt-BR"/>
              </w:rPr>
            </w:pPr>
            <w:r w:rsidRPr="001F2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7F06DF2E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AA2F7A0" w14:textId="77777777" w:rsidR="00464360" w:rsidRDefault="00464360" w:rsidP="008A292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BB52" w14:textId="77777777" w:rsidR="00E72442" w:rsidRDefault="00E72442">
      <w:r>
        <w:separator/>
      </w:r>
    </w:p>
  </w:endnote>
  <w:endnote w:type="continuationSeparator" w:id="0">
    <w:p w14:paraId="68056328" w14:textId="77777777" w:rsidR="00E72442" w:rsidRDefault="00E7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BDB6" w14:textId="77777777" w:rsidR="00E72442" w:rsidRDefault="00E72442">
      <w:r>
        <w:separator/>
      </w:r>
    </w:p>
  </w:footnote>
  <w:footnote w:type="continuationSeparator" w:id="0">
    <w:p w14:paraId="4F1453E9" w14:textId="77777777" w:rsidR="00E72442" w:rsidRDefault="00E7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053955"/>
    <w:multiLevelType w:val="hybridMultilevel"/>
    <w:tmpl w:val="0BC84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7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55690633">
    <w:abstractNumId w:val="20"/>
  </w:num>
  <w:num w:numId="2" w16cid:durableId="1079523691">
    <w:abstractNumId w:val="26"/>
  </w:num>
  <w:num w:numId="3" w16cid:durableId="584190994">
    <w:abstractNumId w:val="12"/>
  </w:num>
  <w:num w:numId="4" w16cid:durableId="498352320">
    <w:abstractNumId w:val="22"/>
  </w:num>
  <w:num w:numId="5" w16cid:durableId="1560746206">
    <w:abstractNumId w:val="9"/>
  </w:num>
  <w:num w:numId="6" w16cid:durableId="2052653890">
    <w:abstractNumId w:val="16"/>
  </w:num>
  <w:num w:numId="7" w16cid:durableId="281765273">
    <w:abstractNumId w:val="5"/>
  </w:num>
  <w:num w:numId="8" w16cid:durableId="173419156">
    <w:abstractNumId w:val="21"/>
  </w:num>
  <w:num w:numId="9" w16cid:durableId="1930773734">
    <w:abstractNumId w:val="8"/>
  </w:num>
  <w:num w:numId="10" w16cid:durableId="1881285685">
    <w:abstractNumId w:val="7"/>
  </w:num>
  <w:num w:numId="11" w16cid:durableId="279798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484371">
    <w:abstractNumId w:val="18"/>
  </w:num>
  <w:num w:numId="13" w16cid:durableId="2108307011">
    <w:abstractNumId w:val="2"/>
  </w:num>
  <w:num w:numId="14" w16cid:durableId="1328247502">
    <w:abstractNumId w:val="3"/>
  </w:num>
  <w:num w:numId="15" w16cid:durableId="2035114073">
    <w:abstractNumId w:val="4"/>
  </w:num>
  <w:num w:numId="16" w16cid:durableId="227225478">
    <w:abstractNumId w:val="24"/>
  </w:num>
  <w:num w:numId="17" w16cid:durableId="169757653">
    <w:abstractNumId w:val="1"/>
  </w:num>
  <w:num w:numId="18" w16cid:durableId="30540950">
    <w:abstractNumId w:val="19"/>
  </w:num>
  <w:num w:numId="19" w16cid:durableId="2016957092">
    <w:abstractNumId w:val="14"/>
  </w:num>
  <w:num w:numId="20" w16cid:durableId="475339318">
    <w:abstractNumId w:val="25"/>
  </w:num>
  <w:num w:numId="21" w16cid:durableId="1952861142">
    <w:abstractNumId w:val="15"/>
  </w:num>
  <w:num w:numId="22" w16cid:durableId="807674156">
    <w:abstractNumId w:val="23"/>
  </w:num>
  <w:num w:numId="23" w16cid:durableId="2036349617">
    <w:abstractNumId w:val="11"/>
  </w:num>
  <w:num w:numId="24" w16cid:durableId="977148153">
    <w:abstractNumId w:val="0"/>
  </w:num>
  <w:num w:numId="25" w16cid:durableId="379480237">
    <w:abstractNumId w:val="10"/>
  </w:num>
  <w:num w:numId="26" w16cid:durableId="10070521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5976751">
    <w:abstractNumId w:val="27"/>
  </w:num>
  <w:num w:numId="28" w16cid:durableId="1894197034">
    <w:abstractNumId w:val="17"/>
  </w:num>
  <w:num w:numId="29" w16cid:durableId="1295914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3E44"/>
    <w:rsid w:val="00015BEF"/>
    <w:rsid w:val="00020413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74F63"/>
    <w:rsid w:val="00084D7A"/>
    <w:rsid w:val="0009353C"/>
    <w:rsid w:val="000962B4"/>
    <w:rsid w:val="000A0FF9"/>
    <w:rsid w:val="000B24B8"/>
    <w:rsid w:val="000B4FEB"/>
    <w:rsid w:val="000B7DF9"/>
    <w:rsid w:val="000C2F08"/>
    <w:rsid w:val="000D5801"/>
    <w:rsid w:val="000E2C7B"/>
    <w:rsid w:val="000E3837"/>
    <w:rsid w:val="000E60E2"/>
    <w:rsid w:val="000F056F"/>
    <w:rsid w:val="000F1ECC"/>
    <w:rsid w:val="000F40BE"/>
    <w:rsid w:val="0010439F"/>
    <w:rsid w:val="0010775F"/>
    <w:rsid w:val="001104D7"/>
    <w:rsid w:val="00111A50"/>
    <w:rsid w:val="0011430D"/>
    <w:rsid w:val="00117E4A"/>
    <w:rsid w:val="001236A1"/>
    <w:rsid w:val="001257B4"/>
    <w:rsid w:val="001318DD"/>
    <w:rsid w:val="001319B6"/>
    <w:rsid w:val="00131ADC"/>
    <w:rsid w:val="00144FD0"/>
    <w:rsid w:val="00145062"/>
    <w:rsid w:val="00152C7C"/>
    <w:rsid w:val="001533CF"/>
    <w:rsid w:val="00160308"/>
    <w:rsid w:val="001618BE"/>
    <w:rsid w:val="001620DB"/>
    <w:rsid w:val="001722E0"/>
    <w:rsid w:val="0017578F"/>
    <w:rsid w:val="0017617C"/>
    <w:rsid w:val="00177C81"/>
    <w:rsid w:val="00184FEF"/>
    <w:rsid w:val="00190F12"/>
    <w:rsid w:val="00192F7D"/>
    <w:rsid w:val="0019787D"/>
    <w:rsid w:val="001A4779"/>
    <w:rsid w:val="001A7F4E"/>
    <w:rsid w:val="001B4C81"/>
    <w:rsid w:val="001C5F97"/>
    <w:rsid w:val="001D1B93"/>
    <w:rsid w:val="001D74FD"/>
    <w:rsid w:val="001F22F3"/>
    <w:rsid w:val="001F2EC0"/>
    <w:rsid w:val="001F567F"/>
    <w:rsid w:val="001F70BB"/>
    <w:rsid w:val="00200E35"/>
    <w:rsid w:val="00204C0D"/>
    <w:rsid w:val="00211752"/>
    <w:rsid w:val="00212507"/>
    <w:rsid w:val="002162BA"/>
    <w:rsid w:val="002200D0"/>
    <w:rsid w:val="002209A3"/>
    <w:rsid w:val="002236C5"/>
    <w:rsid w:val="002263AB"/>
    <w:rsid w:val="00227F29"/>
    <w:rsid w:val="00231EEB"/>
    <w:rsid w:val="00243744"/>
    <w:rsid w:val="00271697"/>
    <w:rsid w:val="002978BD"/>
    <w:rsid w:val="00297C50"/>
    <w:rsid w:val="002A525F"/>
    <w:rsid w:val="002A57A5"/>
    <w:rsid w:val="002A7189"/>
    <w:rsid w:val="002C216D"/>
    <w:rsid w:val="002D56F8"/>
    <w:rsid w:val="002E6385"/>
    <w:rsid w:val="002E77DE"/>
    <w:rsid w:val="002F4CD8"/>
    <w:rsid w:val="00306DC0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5157A"/>
    <w:rsid w:val="003526E8"/>
    <w:rsid w:val="00353E9F"/>
    <w:rsid w:val="003574F9"/>
    <w:rsid w:val="00361AD3"/>
    <w:rsid w:val="003671C4"/>
    <w:rsid w:val="0037114A"/>
    <w:rsid w:val="00377C90"/>
    <w:rsid w:val="00381FD2"/>
    <w:rsid w:val="00384E21"/>
    <w:rsid w:val="00391DF6"/>
    <w:rsid w:val="003A1FCD"/>
    <w:rsid w:val="003B71E9"/>
    <w:rsid w:val="003C0162"/>
    <w:rsid w:val="003C1025"/>
    <w:rsid w:val="003C410D"/>
    <w:rsid w:val="003C7D96"/>
    <w:rsid w:val="003D67E5"/>
    <w:rsid w:val="003E6959"/>
    <w:rsid w:val="003F238D"/>
    <w:rsid w:val="00400BE8"/>
    <w:rsid w:val="0040101C"/>
    <w:rsid w:val="004019BC"/>
    <w:rsid w:val="004105ED"/>
    <w:rsid w:val="00410824"/>
    <w:rsid w:val="00415641"/>
    <w:rsid w:val="004206B7"/>
    <w:rsid w:val="00421674"/>
    <w:rsid w:val="0042294A"/>
    <w:rsid w:val="00441496"/>
    <w:rsid w:val="0044192A"/>
    <w:rsid w:val="00464360"/>
    <w:rsid w:val="00467293"/>
    <w:rsid w:val="00470890"/>
    <w:rsid w:val="00471431"/>
    <w:rsid w:val="00475E5D"/>
    <w:rsid w:val="00481423"/>
    <w:rsid w:val="004A432D"/>
    <w:rsid w:val="004A48DF"/>
    <w:rsid w:val="004A5592"/>
    <w:rsid w:val="004A65CC"/>
    <w:rsid w:val="004C029D"/>
    <w:rsid w:val="004C3188"/>
    <w:rsid w:val="004C4D47"/>
    <w:rsid w:val="004D3371"/>
    <w:rsid w:val="004E46AD"/>
    <w:rsid w:val="004E5095"/>
    <w:rsid w:val="005202A3"/>
    <w:rsid w:val="00524FCB"/>
    <w:rsid w:val="005254F1"/>
    <w:rsid w:val="00544B65"/>
    <w:rsid w:val="00550E67"/>
    <w:rsid w:val="0055266E"/>
    <w:rsid w:val="005535F8"/>
    <w:rsid w:val="00554EC4"/>
    <w:rsid w:val="005573A3"/>
    <w:rsid w:val="00565BC4"/>
    <w:rsid w:val="0058154E"/>
    <w:rsid w:val="00585E41"/>
    <w:rsid w:val="005941C1"/>
    <w:rsid w:val="00594763"/>
    <w:rsid w:val="00595F97"/>
    <w:rsid w:val="005A1D65"/>
    <w:rsid w:val="005A3091"/>
    <w:rsid w:val="005A7404"/>
    <w:rsid w:val="005B017D"/>
    <w:rsid w:val="005C1CB0"/>
    <w:rsid w:val="005C2676"/>
    <w:rsid w:val="005D26D2"/>
    <w:rsid w:val="005E7AEC"/>
    <w:rsid w:val="005F5342"/>
    <w:rsid w:val="00610DB9"/>
    <w:rsid w:val="00611191"/>
    <w:rsid w:val="0061502B"/>
    <w:rsid w:val="0062317D"/>
    <w:rsid w:val="006232E4"/>
    <w:rsid w:val="00637067"/>
    <w:rsid w:val="00652A26"/>
    <w:rsid w:val="00653AE8"/>
    <w:rsid w:val="00655AD6"/>
    <w:rsid w:val="006639BD"/>
    <w:rsid w:val="0066517D"/>
    <w:rsid w:val="00670F39"/>
    <w:rsid w:val="00675FC1"/>
    <w:rsid w:val="00684A3B"/>
    <w:rsid w:val="00686D15"/>
    <w:rsid w:val="00687088"/>
    <w:rsid w:val="00692726"/>
    <w:rsid w:val="0069755D"/>
    <w:rsid w:val="006A3525"/>
    <w:rsid w:val="006B1141"/>
    <w:rsid w:val="006B42D0"/>
    <w:rsid w:val="006B6454"/>
    <w:rsid w:val="006B6D8F"/>
    <w:rsid w:val="006C0705"/>
    <w:rsid w:val="006D28CA"/>
    <w:rsid w:val="006D7BA9"/>
    <w:rsid w:val="006E2B1B"/>
    <w:rsid w:val="006E5B5A"/>
    <w:rsid w:val="006E6D2D"/>
    <w:rsid w:val="006F198E"/>
    <w:rsid w:val="006F4461"/>
    <w:rsid w:val="007075B9"/>
    <w:rsid w:val="0070791B"/>
    <w:rsid w:val="0071616A"/>
    <w:rsid w:val="00720A3D"/>
    <w:rsid w:val="00726421"/>
    <w:rsid w:val="007326CF"/>
    <w:rsid w:val="00733CDC"/>
    <w:rsid w:val="00740BCD"/>
    <w:rsid w:val="00744711"/>
    <w:rsid w:val="00744EAA"/>
    <w:rsid w:val="00747031"/>
    <w:rsid w:val="00753B2A"/>
    <w:rsid w:val="007551B6"/>
    <w:rsid w:val="00761C87"/>
    <w:rsid w:val="007703A8"/>
    <w:rsid w:val="0079491D"/>
    <w:rsid w:val="007958C6"/>
    <w:rsid w:val="007B000B"/>
    <w:rsid w:val="007B5991"/>
    <w:rsid w:val="007B6EE8"/>
    <w:rsid w:val="007C1C31"/>
    <w:rsid w:val="007C4298"/>
    <w:rsid w:val="007C4F7E"/>
    <w:rsid w:val="007C5270"/>
    <w:rsid w:val="007D7AFA"/>
    <w:rsid w:val="007F1BD0"/>
    <w:rsid w:val="007F59F4"/>
    <w:rsid w:val="007F6D70"/>
    <w:rsid w:val="00800C01"/>
    <w:rsid w:val="00805D2F"/>
    <w:rsid w:val="008169CE"/>
    <w:rsid w:val="00820BCF"/>
    <w:rsid w:val="00823223"/>
    <w:rsid w:val="008274CC"/>
    <w:rsid w:val="00827AA5"/>
    <w:rsid w:val="00833B9E"/>
    <w:rsid w:val="00841D12"/>
    <w:rsid w:val="00845619"/>
    <w:rsid w:val="00846D3E"/>
    <w:rsid w:val="0084790C"/>
    <w:rsid w:val="00851F49"/>
    <w:rsid w:val="0085498E"/>
    <w:rsid w:val="00870066"/>
    <w:rsid w:val="0087007C"/>
    <w:rsid w:val="008724F5"/>
    <w:rsid w:val="00877BCF"/>
    <w:rsid w:val="00881F38"/>
    <w:rsid w:val="00885F5B"/>
    <w:rsid w:val="00891ED4"/>
    <w:rsid w:val="008A292A"/>
    <w:rsid w:val="008A54D4"/>
    <w:rsid w:val="008A5872"/>
    <w:rsid w:val="008B4E91"/>
    <w:rsid w:val="008B5E0B"/>
    <w:rsid w:val="008B6415"/>
    <w:rsid w:val="008B7B28"/>
    <w:rsid w:val="008B7ED0"/>
    <w:rsid w:val="008C6FE0"/>
    <w:rsid w:val="008D5A32"/>
    <w:rsid w:val="008D6C47"/>
    <w:rsid w:val="008E10F4"/>
    <w:rsid w:val="008E3531"/>
    <w:rsid w:val="008E3B96"/>
    <w:rsid w:val="008E3C61"/>
    <w:rsid w:val="008E691D"/>
    <w:rsid w:val="008F2163"/>
    <w:rsid w:val="008F6E9F"/>
    <w:rsid w:val="00901AC9"/>
    <w:rsid w:val="00904DD2"/>
    <w:rsid w:val="0091772A"/>
    <w:rsid w:val="00933371"/>
    <w:rsid w:val="00935944"/>
    <w:rsid w:val="00941BF7"/>
    <w:rsid w:val="00955C78"/>
    <w:rsid w:val="00960864"/>
    <w:rsid w:val="00965D92"/>
    <w:rsid w:val="00967990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C4B28"/>
    <w:rsid w:val="009D0851"/>
    <w:rsid w:val="009D124E"/>
    <w:rsid w:val="009E789F"/>
    <w:rsid w:val="009F6A84"/>
    <w:rsid w:val="00A07397"/>
    <w:rsid w:val="00A12223"/>
    <w:rsid w:val="00A14D5E"/>
    <w:rsid w:val="00A1772B"/>
    <w:rsid w:val="00A226E8"/>
    <w:rsid w:val="00A27652"/>
    <w:rsid w:val="00A33CB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B6715"/>
    <w:rsid w:val="00AC55C8"/>
    <w:rsid w:val="00AC7117"/>
    <w:rsid w:val="00AD2D9C"/>
    <w:rsid w:val="00AD6EF2"/>
    <w:rsid w:val="00AE26CF"/>
    <w:rsid w:val="00AE3985"/>
    <w:rsid w:val="00AE7B6E"/>
    <w:rsid w:val="00AF07DE"/>
    <w:rsid w:val="00B061A2"/>
    <w:rsid w:val="00B10E1D"/>
    <w:rsid w:val="00B26BE0"/>
    <w:rsid w:val="00B27426"/>
    <w:rsid w:val="00B30203"/>
    <w:rsid w:val="00B31F74"/>
    <w:rsid w:val="00B37AF7"/>
    <w:rsid w:val="00B44E9E"/>
    <w:rsid w:val="00B46377"/>
    <w:rsid w:val="00B54467"/>
    <w:rsid w:val="00B6071E"/>
    <w:rsid w:val="00B6166B"/>
    <w:rsid w:val="00B62B6E"/>
    <w:rsid w:val="00B6695A"/>
    <w:rsid w:val="00B66C82"/>
    <w:rsid w:val="00B71EF7"/>
    <w:rsid w:val="00B74B68"/>
    <w:rsid w:val="00B84B6E"/>
    <w:rsid w:val="00B949CB"/>
    <w:rsid w:val="00B95357"/>
    <w:rsid w:val="00B9711E"/>
    <w:rsid w:val="00BA1461"/>
    <w:rsid w:val="00BB29FA"/>
    <w:rsid w:val="00BB53F0"/>
    <w:rsid w:val="00BB7825"/>
    <w:rsid w:val="00BC4309"/>
    <w:rsid w:val="00BC7DCD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3124D"/>
    <w:rsid w:val="00C5259B"/>
    <w:rsid w:val="00C6352D"/>
    <w:rsid w:val="00C66541"/>
    <w:rsid w:val="00C70A43"/>
    <w:rsid w:val="00C72662"/>
    <w:rsid w:val="00C73715"/>
    <w:rsid w:val="00C86B07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1DD9"/>
    <w:rsid w:val="00D07860"/>
    <w:rsid w:val="00D10548"/>
    <w:rsid w:val="00D1503A"/>
    <w:rsid w:val="00D15B06"/>
    <w:rsid w:val="00D22E01"/>
    <w:rsid w:val="00D45D90"/>
    <w:rsid w:val="00D66B18"/>
    <w:rsid w:val="00D77613"/>
    <w:rsid w:val="00D90689"/>
    <w:rsid w:val="00DA4678"/>
    <w:rsid w:val="00DA7171"/>
    <w:rsid w:val="00DC3D44"/>
    <w:rsid w:val="00DC6EDB"/>
    <w:rsid w:val="00DD0BB3"/>
    <w:rsid w:val="00DD2A07"/>
    <w:rsid w:val="00DE447E"/>
    <w:rsid w:val="00DE7B5B"/>
    <w:rsid w:val="00E0506C"/>
    <w:rsid w:val="00E1401A"/>
    <w:rsid w:val="00E203D1"/>
    <w:rsid w:val="00E225A4"/>
    <w:rsid w:val="00E32874"/>
    <w:rsid w:val="00E32A7C"/>
    <w:rsid w:val="00E34A87"/>
    <w:rsid w:val="00E70A6D"/>
    <w:rsid w:val="00E72442"/>
    <w:rsid w:val="00E75375"/>
    <w:rsid w:val="00E81C98"/>
    <w:rsid w:val="00E9616C"/>
    <w:rsid w:val="00EB4769"/>
    <w:rsid w:val="00EC65AE"/>
    <w:rsid w:val="00EC722C"/>
    <w:rsid w:val="00ED0D78"/>
    <w:rsid w:val="00ED3763"/>
    <w:rsid w:val="00EE4EE8"/>
    <w:rsid w:val="00EF6760"/>
    <w:rsid w:val="00F00BA5"/>
    <w:rsid w:val="00F0513A"/>
    <w:rsid w:val="00F11E8A"/>
    <w:rsid w:val="00F15852"/>
    <w:rsid w:val="00F17FA6"/>
    <w:rsid w:val="00F36834"/>
    <w:rsid w:val="00F36FB0"/>
    <w:rsid w:val="00F460F0"/>
    <w:rsid w:val="00F64A1C"/>
    <w:rsid w:val="00F7051B"/>
    <w:rsid w:val="00F8106E"/>
    <w:rsid w:val="00F8363E"/>
    <w:rsid w:val="00FA7D4D"/>
    <w:rsid w:val="00FB2152"/>
    <w:rsid w:val="00FC0127"/>
    <w:rsid w:val="00FC6247"/>
    <w:rsid w:val="00FD2090"/>
    <w:rsid w:val="00FE0620"/>
    <w:rsid w:val="00FF19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2FFA-DC47-4760-BA33-99341337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2477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13</cp:revision>
  <cp:lastPrinted>2021-06-25T13:35:00Z</cp:lastPrinted>
  <dcterms:created xsi:type="dcterms:W3CDTF">2022-09-22T13:31:00Z</dcterms:created>
  <dcterms:modified xsi:type="dcterms:W3CDTF">2022-11-30T16:09:00Z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