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18332CCF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923D7C" w:rsidRPr="00923D7C">
              <w:rPr>
                <w:rFonts w:asciiTheme="majorHAnsi" w:hAnsiTheme="majorHAnsi" w:cs="Times New Roman"/>
              </w:rPr>
              <w:t>1643228</w:t>
            </w:r>
            <w:r w:rsidR="00923D7C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6641B7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0B70E09" w:rsidR="00B8018D" w:rsidRPr="00E61C23" w:rsidRDefault="006641B7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Comissão de Exercício Profissional</w:t>
            </w:r>
            <w:r w:rsidR="003E00A2">
              <w:rPr>
                <w:rFonts w:asciiTheme="majorHAnsi" w:hAnsiTheme="majorHAnsi" w:cs="Times New Roman"/>
              </w:rPr>
              <w:t xml:space="preserve"> </w:t>
            </w:r>
            <w:r w:rsidR="003D5BAC">
              <w:rPr>
                <w:rFonts w:asciiTheme="majorHAnsi" w:hAnsiTheme="majorHAnsi" w:cs="Times New Roman"/>
              </w:rPr>
              <w:t>do CAU/MG</w:t>
            </w:r>
          </w:p>
        </w:tc>
      </w:tr>
      <w:tr w:rsidR="00113CE6" w:rsidRPr="006641B7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4E6FF873" w:rsidR="00113CE6" w:rsidRPr="003D5BAC" w:rsidRDefault="006641B7" w:rsidP="000D2BF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Orientações para elaboração de relatórios de processos de fiscalização</w:t>
            </w:r>
          </w:p>
        </w:tc>
      </w:tr>
      <w:tr w:rsidR="00113CE6" w:rsidRPr="006641B7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6641B7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3264544A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C26265">
              <w:rPr>
                <w:rFonts w:asciiTheme="majorHAnsi" w:hAnsiTheme="majorHAnsi" w:cs="Times New Roman"/>
                <w:b/>
              </w:rPr>
              <w:t>198</w:t>
            </w:r>
            <w:r w:rsidR="00EB4570" w:rsidRPr="006641B7">
              <w:rPr>
                <w:rFonts w:asciiTheme="majorHAnsi" w:hAnsiTheme="majorHAnsi" w:cs="Times New Roman"/>
                <w:b/>
              </w:rPr>
              <w:t>.</w:t>
            </w:r>
            <w:r w:rsidR="005D1ADF" w:rsidRPr="006641B7">
              <w:rPr>
                <w:rFonts w:asciiTheme="majorHAnsi" w:hAnsiTheme="majorHAnsi" w:cs="Times New Roman"/>
                <w:b/>
              </w:rPr>
              <w:t>6</w:t>
            </w:r>
            <w:r w:rsidR="00EB4570" w:rsidRPr="006641B7">
              <w:rPr>
                <w:rFonts w:asciiTheme="majorHAnsi" w:hAnsiTheme="majorHAnsi" w:cs="Times New Roman"/>
                <w:b/>
              </w:rPr>
              <w:t>.</w:t>
            </w:r>
            <w:r w:rsidR="006641B7" w:rsidRPr="006641B7">
              <w:rPr>
                <w:rFonts w:asciiTheme="majorHAnsi" w:hAnsiTheme="majorHAnsi" w:cs="Times New Roman"/>
                <w:b/>
              </w:rPr>
              <w:t>3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1C81504" w14:textId="77777777" w:rsidR="00C26265" w:rsidRPr="00C41497" w:rsidRDefault="00C26265" w:rsidP="00C26265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>
        <w:rPr>
          <w:rFonts w:asciiTheme="majorHAnsi" w:hAnsiTheme="majorHAnsi" w:cs="Times New Roman"/>
          <w:lang w:val="pt-BR"/>
        </w:rPr>
        <w:t>24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outubro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C41497" w:rsidRDefault="0058380F" w:rsidP="005D2692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2D18A609" w14:textId="77777777" w:rsidR="004A4AB6" w:rsidRPr="00C41497" w:rsidRDefault="004A4AB6" w:rsidP="005D2692">
      <w:pPr>
        <w:suppressLineNumbers/>
        <w:spacing w:before="240" w:after="240"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450432E2" w14:textId="77777777" w:rsidR="006641B7" w:rsidRPr="006641B7" w:rsidRDefault="006641B7" w:rsidP="006641B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6641B7">
        <w:rPr>
          <w:rFonts w:asciiTheme="majorHAnsi" w:hAnsiTheme="majorHAnsi" w:cs="Times New Roman"/>
          <w:i/>
          <w:iCs/>
          <w:sz w:val="20"/>
          <w:szCs w:val="20"/>
          <w:lang w:val="pt-BR"/>
        </w:rPr>
        <w:t>VII - propor, apreciar e deliberar, em consonância com os atos já normatizados pelo CAU/BR, sobre:</w:t>
      </w:r>
    </w:p>
    <w:p w14:paraId="4D20DB46" w14:textId="77777777" w:rsidR="006641B7" w:rsidRPr="006641B7" w:rsidRDefault="006641B7" w:rsidP="006641B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6641B7">
        <w:rPr>
          <w:rFonts w:asciiTheme="majorHAnsi" w:hAnsiTheme="majorHAnsi" w:cs="Times New Roman"/>
          <w:i/>
          <w:iCs/>
          <w:sz w:val="20"/>
          <w:szCs w:val="20"/>
          <w:lang w:val="pt-BR"/>
        </w:rPr>
        <w:t>a) ações de fiscalização;</w:t>
      </w:r>
    </w:p>
    <w:p w14:paraId="60C6FE25" w14:textId="0ED6EC0A" w:rsidR="006641B7" w:rsidRDefault="006641B7" w:rsidP="005D2692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Guia do Conselheiro, publicação do CAU/BR que dispõe, entre outras coisas, sobre as competências dos Conselheiros do CAU, onde temos:</w:t>
      </w:r>
    </w:p>
    <w:p w14:paraId="1018E98F" w14:textId="77777777" w:rsidR="006641B7" w:rsidRDefault="006641B7" w:rsidP="006641B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6641B7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O conselheiro elaborará o seu relatório e voto fundamentado, documento apresentado à comissão ou ao plenário, conforme o caso, para apreciação e deliberação da matéria. </w:t>
      </w:r>
    </w:p>
    <w:p w14:paraId="280E4171" w14:textId="77777777" w:rsidR="006641B7" w:rsidRDefault="006641B7" w:rsidP="006641B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6641B7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Na elaboração do relatório e voto fundamentado, o conselheiro poderá contar com o embasamento de parecer interno ou externo ao CAU, sendo esses técnicos ou jurídicos. </w:t>
      </w:r>
    </w:p>
    <w:p w14:paraId="6629E990" w14:textId="26ABCE18" w:rsidR="006641B7" w:rsidRPr="006641B7" w:rsidRDefault="006641B7" w:rsidP="006641B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6641B7">
        <w:rPr>
          <w:rFonts w:asciiTheme="majorHAnsi" w:hAnsiTheme="majorHAnsi" w:cs="Times New Roman"/>
          <w:i/>
          <w:iCs/>
          <w:sz w:val="20"/>
          <w:szCs w:val="20"/>
          <w:lang w:val="pt-BR"/>
        </w:rPr>
        <w:t>O voto de conselheiro deve primar pela qualidade, legalidade, fundamentação e cumprimento dos princípios éticos que norteiam a profissão de arquiteto e urbanista, trazendo tratamento idêntico para questões semelhantes, evitando-se possíveis discussões e decisões no âmbito judicial.</w:t>
      </w:r>
    </w:p>
    <w:p w14:paraId="2A2708E0" w14:textId="4CDC4DFF" w:rsidR="005D1ADF" w:rsidRDefault="00895EC2" w:rsidP="005D2692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Considerando </w:t>
      </w:r>
      <w:r w:rsidR="006641B7">
        <w:rPr>
          <w:rFonts w:asciiTheme="majorHAnsi" w:hAnsiTheme="majorHAnsi" w:cs="Times New Roman"/>
          <w:lang w:val="pt-BR"/>
        </w:rPr>
        <w:t xml:space="preserve">discussões realizadas por esta Comissão de Exercício Profissional – CEP-CAU/MG, nos termos registrados na Súmula n° 198/2022, ao item 6.3, no qual foram debatidos os limites das competências e atribuições dos Conselheiros Relatores no âmbito do CAU, bem como dos Assessores </w:t>
      </w:r>
      <w:r w:rsidR="006641B7">
        <w:rPr>
          <w:rFonts w:asciiTheme="majorHAnsi" w:hAnsiTheme="majorHAnsi" w:cs="Times New Roman"/>
          <w:lang w:val="pt-BR"/>
        </w:rPr>
        <w:lastRenderedPageBreak/>
        <w:t>Técnicos de Comissões temáticas, a fim de se chegar a um formato de produção de relatórios que ajude a dar vazão ao grande volume de processos de fiscalização encaminhados todos os meses a esta Comissão.</w:t>
      </w:r>
    </w:p>
    <w:p w14:paraId="56524D17" w14:textId="770EE6F3" w:rsidR="0008559A" w:rsidRPr="008C59E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72E5539B" w14:textId="5710B127" w:rsidR="005D1ADF" w:rsidRDefault="005D1ADF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5D2692">
        <w:rPr>
          <w:rFonts w:asciiTheme="majorHAnsi" w:hAnsiTheme="majorHAnsi" w:cs="Times New Roman"/>
          <w:lang w:val="pt-BR"/>
        </w:rPr>
        <w:t>So</w:t>
      </w:r>
      <w:r w:rsidR="006641B7">
        <w:rPr>
          <w:rFonts w:asciiTheme="majorHAnsi" w:hAnsiTheme="majorHAnsi" w:cs="Times New Roman"/>
          <w:lang w:val="pt-BR"/>
        </w:rPr>
        <w:t xml:space="preserve">licitar que a Assessoria Técnica da Comissão de Exercício Profissional do CAU/MG utilize planilha </w:t>
      </w:r>
      <w:r w:rsidR="00923D7C">
        <w:rPr>
          <w:rFonts w:asciiTheme="majorHAnsi" w:hAnsiTheme="majorHAnsi" w:cs="Times New Roman"/>
          <w:lang w:val="pt-BR"/>
        </w:rPr>
        <w:t>eletrônica de elaboração de processos de fiscalização para o desenvolvimento de 10 relatórios de processos de fiscalização, sendo 5 dentre aqueles previamente distribuídos ao Conselheiro Lucas Leonel, e 5 dentre aqueles previamente distribuídos à Conselheira Luciana Bracarense</w:t>
      </w:r>
      <w:r>
        <w:rPr>
          <w:rFonts w:asciiTheme="majorHAnsi" w:hAnsiTheme="majorHAnsi" w:cs="Times New Roman"/>
          <w:lang w:val="pt-BR"/>
        </w:rPr>
        <w:t>;</w:t>
      </w:r>
    </w:p>
    <w:p w14:paraId="36690753" w14:textId="55A10804" w:rsidR="00923D7C" w:rsidRDefault="00923D7C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Os relatórios produzidos deverão ser posteriormente revisados e assinados pelos respectivos conselheiros relatores, antes da sua apresentação para julgamento por esta Comissão;</w:t>
      </w:r>
    </w:p>
    <w:p w14:paraId="1DBD7692" w14:textId="3F698981" w:rsidR="00923D7C" w:rsidRPr="005D2692" w:rsidRDefault="00923D7C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 metodologia proposta será realizada a título de teste, para posterior definição sobre possível alteração no atual modelo de produção e julgamento de relatórios adotados no âmbito desta Comissão;</w:t>
      </w:r>
    </w:p>
    <w:p w14:paraId="112B1D1E" w14:textId="64E665AE" w:rsidR="008C59E1" w:rsidRPr="005D2692" w:rsidRDefault="008C59E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5D2692">
        <w:rPr>
          <w:rFonts w:asciiTheme="majorHAnsi" w:hAnsiTheme="majorHAnsi" w:cs="Times New Roman"/>
          <w:lang w:val="pt-BR"/>
        </w:rPr>
        <w:t>Encaminhar a presente Deliberação para a Presidência do CAU/MG, para conhecimento</w:t>
      </w:r>
      <w:r w:rsidR="007A2CC1" w:rsidRPr="005D2692">
        <w:rPr>
          <w:rFonts w:asciiTheme="majorHAnsi" w:hAnsiTheme="majorHAnsi" w:cs="Times New Roman"/>
          <w:lang w:val="pt-BR"/>
        </w:rPr>
        <w:t>.</w:t>
      </w:r>
      <w:r w:rsidRPr="005D2692">
        <w:rPr>
          <w:rFonts w:asciiTheme="majorHAnsi" w:hAnsiTheme="majorHAnsi" w:cs="Times New Roman"/>
          <w:lang w:val="pt-BR"/>
        </w:rPr>
        <w:t xml:space="preserve"> </w:t>
      </w:r>
    </w:p>
    <w:p w14:paraId="32A7091D" w14:textId="77777777" w:rsidR="00C26265" w:rsidRPr="00C26265" w:rsidRDefault="00C26265" w:rsidP="00C26265">
      <w:pPr>
        <w:widowControl/>
        <w:suppressLineNumbers/>
        <w:spacing w:before="240" w:after="240" w:line="276" w:lineRule="auto"/>
        <w:ind w:left="360"/>
        <w:jc w:val="right"/>
        <w:rPr>
          <w:rFonts w:asciiTheme="majorHAnsi" w:hAnsiTheme="majorHAnsi" w:cs="Times New Roman"/>
          <w:lang w:val="pt-BR"/>
        </w:rPr>
      </w:pPr>
      <w:r w:rsidRPr="00C26265">
        <w:rPr>
          <w:rFonts w:asciiTheme="majorHAnsi" w:hAnsiTheme="majorHAnsi" w:cs="Times New Roman"/>
          <w:lang w:val="pt-BR"/>
        </w:rPr>
        <w:t>Belo Horizonte, 24 de outubro de 2022.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1955F4ED" w14:textId="2A0EBB83" w:rsidR="00C26265" w:rsidRPr="008C59E1" w:rsidRDefault="00C26265" w:rsidP="00C26265">
      <w:pPr>
        <w:spacing w:before="120" w:after="120"/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6641B7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198.</w:t>
      </w:r>
      <w:r w:rsidR="006641B7" w:rsidRPr="006641B7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6641B7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.3/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C26265" w14:paraId="7001CBB3" w14:textId="77777777" w:rsidTr="00697AE1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A1ECA9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00CA97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8C95E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C26265" w14:paraId="2D692913" w14:textId="77777777" w:rsidTr="00697AE1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86D8" w14:textId="77777777" w:rsidR="00C26265" w:rsidRDefault="00C26265" w:rsidP="00697A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71C6D7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3CE5ECB0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B5F9D2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6F3DDDFB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79C738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DC6B82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1554F5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26265" w:rsidRPr="005D2692" w14:paraId="2F85EC70" w14:textId="77777777" w:rsidTr="00697AE1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99139" w14:textId="77777777" w:rsidR="00C26265" w:rsidRPr="0044259C" w:rsidRDefault="00C26265" w:rsidP="00697AE1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510F3" w14:textId="4D0E5802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7FA92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460AC" w14:textId="63272A8C" w:rsidR="00C26265" w:rsidRPr="0044259C" w:rsidRDefault="006641B7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D71B6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03B0B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C26265" w:rsidRPr="005D2692" w14:paraId="3993CF7B" w14:textId="77777777" w:rsidTr="00697AE1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C5D8E" w14:textId="77777777" w:rsidR="00C26265" w:rsidRPr="00EC3313" w:rsidRDefault="00C26265" w:rsidP="00697AE1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1E2DD466" w14:textId="77777777" w:rsidR="00C26265" w:rsidRPr="00EC3313" w:rsidRDefault="00C26265" w:rsidP="00697A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A0F4A" w14:textId="0DA08BFD" w:rsidR="00C26265" w:rsidRPr="00EC3313" w:rsidRDefault="006641B7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9799A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ADC1D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B3633" w14:textId="16581AF1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B316B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C26265" w:rsidRPr="005D2692" w14:paraId="02B6B326" w14:textId="77777777" w:rsidTr="00697AE1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B73F4" w14:textId="77777777" w:rsidR="00C26265" w:rsidRPr="00EC3313" w:rsidRDefault="00C26265" w:rsidP="00697AE1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EEC4269" w14:textId="77777777" w:rsidR="00C26265" w:rsidRPr="00ED10F2" w:rsidRDefault="00C26265" w:rsidP="00697A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CB034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0909B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882B9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BA2B5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E0019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C26265" w:rsidRPr="005D2692" w14:paraId="5EA82749" w14:textId="77777777" w:rsidTr="00697AE1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37A38" w14:textId="77777777" w:rsidR="00C26265" w:rsidRPr="00EC3313" w:rsidRDefault="00C26265" w:rsidP="00697AE1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3E747FC7" w14:textId="77777777" w:rsidR="00C26265" w:rsidRPr="00EC3313" w:rsidRDefault="00C26265" w:rsidP="00697A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6C013" w14:textId="3A531101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35705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248C" w14:textId="70981B31" w:rsidR="00C26265" w:rsidRPr="00EC3313" w:rsidRDefault="006641B7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CDE82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0FE4A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73F80384" w14:textId="77777777" w:rsidR="00C26265" w:rsidRDefault="00C26265" w:rsidP="00C26265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0CABE3A8" w14:textId="77777777" w:rsidR="00C26265" w:rsidRDefault="00C26265" w:rsidP="00C26265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9494B85" w14:textId="77777777" w:rsidR="00C26265" w:rsidRDefault="00C26265" w:rsidP="00C26265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E2FC97" w14:textId="77777777" w:rsidR="00C26265" w:rsidRDefault="00C26265" w:rsidP="00C26265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E010D70" w14:textId="77777777" w:rsidR="00C26265" w:rsidRDefault="00C26265" w:rsidP="00C26265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96D60B2" w14:textId="77777777" w:rsidR="00C26265" w:rsidRDefault="00C26265" w:rsidP="00C26265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242372CB" w14:textId="77777777" w:rsidR="00C26265" w:rsidRDefault="00C26265" w:rsidP="00C2626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7EF79F52" w14:textId="77777777" w:rsidR="00C26265" w:rsidRDefault="00C26265" w:rsidP="00C26265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7CA81B39" w14:textId="77777777" w:rsidR="00C26265" w:rsidRDefault="00C26265" w:rsidP="00C26265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710B" w14:textId="77777777" w:rsidR="00732AD0" w:rsidRDefault="00732AD0" w:rsidP="007E22C9">
      <w:r>
        <w:separator/>
      </w:r>
    </w:p>
  </w:endnote>
  <w:endnote w:type="continuationSeparator" w:id="0">
    <w:p w14:paraId="298EACCB" w14:textId="77777777" w:rsidR="00732AD0" w:rsidRDefault="00732AD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0C84" w14:textId="77777777" w:rsidR="00732AD0" w:rsidRDefault="00732AD0" w:rsidP="007E22C9">
      <w:r>
        <w:separator/>
      </w:r>
    </w:p>
  </w:footnote>
  <w:footnote w:type="continuationSeparator" w:id="0">
    <w:p w14:paraId="139AB56C" w14:textId="77777777" w:rsidR="00732AD0" w:rsidRDefault="00732AD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171248">
    <w:abstractNumId w:val="1"/>
  </w:num>
  <w:num w:numId="2" w16cid:durableId="118328137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84369"/>
    <w:rsid w:val="005928A0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641B7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32AD0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23D7C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26265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7</cp:revision>
  <cp:lastPrinted>2022-01-24T14:46:00Z</cp:lastPrinted>
  <dcterms:created xsi:type="dcterms:W3CDTF">2022-02-22T12:12:00Z</dcterms:created>
  <dcterms:modified xsi:type="dcterms:W3CDTF">2022-11-18T17:38:00Z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