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83CA973" w:rsidR="00113CE6" w:rsidRPr="00507ADF" w:rsidRDefault="007C46A6" w:rsidP="007C46A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Resolução CAU/BR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22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="00C51920">
              <w:rPr>
                <w:rFonts w:asciiTheme="majorHAnsi" w:hAnsiTheme="majorHAnsi" w:cs="Times New Roman"/>
              </w:rPr>
              <w:t>Protocolo SICCA</w:t>
            </w:r>
            <w:bookmarkStart w:id="0" w:name="_GoBack"/>
            <w:bookmarkEnd w:id="0"/>
            <w:r w:rsidR="00C51920">
              <w:rPr>
                <w:rFonts w:asciiTheme="majorHAnsi" w:hAnsiTheme="majorHAnsi" w:cs="Times New Roman"/>
              </w:rPr>
              <w:t xml:space="preserve">U n° </w:t>
            </w:r>
            <w:r w:rsidR="00BF7D38" w:rsidRPr="00BF7D38">
              <w:rPr>
                <w:rFonts w:asciiTheme="majorHAnsi" w:hAnsiTheme="majorHAnsi" w:cs="Times New Roman"/>
              </w:rPr>
              <w:t>1638482</w:t>
            </w:r>
            <w:r w:rsidR="00507ADF" w:rsidRPr="00507ADF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7F2D9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01398E8" w14:textId="77777777" w:rsidR="007C46A6" w:rsidRDefault="007C46A6" w:rsidP="007C46A6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6ADDE926" w14:textId="77777777" w:rsidR="007C46A6" w:rsidRPr="00F14178" w:rsidRDefault="007C46A6" w:rsidP="007C46A6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Técnica e de Fiscalização do CAU/MG;</w:t>
            </w:r>
          </w:p>
          <w:p w14:paraId="36332165" w14:textId="5E465415" w:rsidR="00B8018D" w:rsidRPr="00E61C23" w:rsidRDefault="007C46A6" w:rsidP="007C46A6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Coordenadoria de Fiscalização do CAU/MG,</w:t>
            </w:r>
          </w:p>
        </w:tc>
      </w:tr>
      <w:tr w:rsidR="00113CE6" w:rsidRPr="007F2D9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BC4EA09" w:rsidR="00113CE6" w:rsidRPr="003D5BAC" w:rsidRDefault="007C46A6" w:rsidP="007C46A6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Procedimentos de fiscalização: fiscalização de empresas com Registro Profissional com situação “</w:t>
            </w:r>
            <w:r w:rsidRPr="007C46A6">
              <w:rPr>
                <w:rFonts w:asciiTheme="majorHAnsi" w:hAnsiTheme="majorHAnsi" w:cs="Times New Roman"/>
                <w:i/>
              </w:rPr>
              <w:t>inativo</w:t>
            </w:r>
            <w:r>
              <w:rPr>
                <w:rFonts w:asciiTheme="majorHAnsi" w:hAnsiTheme="majorHAnsi" w:cs="Times New Roman"/>
              </w:rPr>
              <w:t>” em órgãos de fiscalização do exercício profissional, para atividades técnicas compartilhadas com outras profissões</w:t>
            </w:r>
          </w:p>
        </w:tc>
      </w:tr>
      <w:tr w:rsidR="00113CE6" w:rsidRPr="007F2D9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D269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00FC517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7C46A6">
              <w:rPr>
                <w:rFonts w:asciiTheme="majorHAnsi" w:hAnsiTheme="majorHAnsi" w:cs="Times New Roman"/>
                <w:b/>
              </w:rPr>
              <w:t>198.3.4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0AF8CB" w14:textId="72ADAB8F" w:rsidR="001224A1" w:rsidRPr="00C41497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43C28CF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02F65390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3EF05DE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6504A2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7139B114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IX –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julgar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em primeira instância os processos disciplinares, na forma que determinar o Regimento Geral do CAU/BR”</w:t>
      </w:r>
    </w:p>
    <w:p w14:paraId="5885BA2C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D43FE0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4D7AF6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1873071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FE48B8D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14:paraId="4DCA538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65F40BF5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2AB6D4C" w14:textId="56352331" w:rsidR="001224A1" w:rsidRDefault="007C46A6" w:rsidP="007C46A6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</w:t>
      </w:r>
      <w:r>
        <w:rPr>
          <w:rFonts w:asciiTheme="majorHAnsi" w:hAnsiTheme="majorHAnsi" w:cs="Times New Roman"/>
          <w:lang w:val="pt-BR"/>
        </w:rPr>
        <w:t>s Deliberações</w:t>
      </w:r>
      <w:r>
        <w:rPr>
          <w:rFonts w:asciiTheme="majorHAnsi" w:hAnsiTheme="majorHAnsi" w:cs="Times New Roman"/>
          <w:lang w:val="pt-BR"/>
        </w:rPr>
        <w:t xml:space="preserve"> </w:t>
      </w:r>
      <w:r w:rsidRPr="00FB09A7">
        <w:rPr>
          <w:rFonts w:asciiTheme="majorHAnsi" w:hAnsiTheme="majorHAnsi" w:cs="Times New Roman"/>
          <w:lang w:val="pt-BR"/>
        </w:rPr>
        <w:t>168.2.1/2020</w:t>
      </w:r>
      <w:r>
        <w:rPr>
          <w:rFonts w:asciiTheme="majorHAnsi" w:hAnsiTheme="majorHAnsi" w:cs="Times New Roman"/>
          <w:lang w:val="pt-BR"/>
        </w:rPr>
        <w:t xml:space="preserve"> e 169.3.1/2020</w:t>
      </w:r>
      <w:r>
        <w:rPr>
          <w:rFonts w:asciiTheme="majorHAnsi" w:hAnsiTheme="majorHAnsi" w:cs="Times New Roman"/>
          <w:lang w:val="pt-BR"/>
        </w:rPr>
        <w:t xml:space="preserve"> desta Comissão de Exercício Profissional</w:t>
      </w:r>
      <w:r>
        <w:rPr>
          <w:rFonts w:asciiTheme="majorHAnsi" w:hAnsiTheme="majorHAnsi" w:cs="Times New Roman"/>
          <w:lang w:val="pt-BR"/>
        </w:rPr>
        <w:t xml:space="preserve">, que tratam sobre análise da listagem de </w:t>
      </w:r>
      <w:r w:rsidRPr="00FB09A7">
        <w:rPr>
          <w:rFonts w:asciiTheme="majorHAnsi" w:hAnsiTheme="majorHAnsi" w:cs="Times New Roman"/>
          <w:lang w:val="pt-BR"/>
        </w:rPr>
        <w:t>subclasses da Classificação Nacional de Atividades Econômicas (CNAE) presentes no Cartão do Cadastro Nacional de Pessoas Jurídicas (CNPJ) de empresas</w:t>
      </w:r>
      <w:r>
        <w:rPr>
          <w:rFonts w:asciiTheme="majorHAnsi" w:hAnsiTheme="majorHAnsi" w:cs="Times New Roman"/>
          <w:lang w:val="pt-BR"/>
        </w:rPr>
        <w:t>, para fins de fiscalização pelo CAU/MG;</w:t>
      </w:r>
    </w:p>
    <w:p w14:paraId="5BB92459" w14:textId="018D2B42" w:rsidR="007C46A6" w:rsidRDefault="007C46A6" w:rsidP="007C46A6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questionamento encaminhados pelo </w:t>
      </w:r>
      <w:proofErr w:type="spellStart"/>
      <w:r w:rsidRPr="007C46A6">
        <w:rPr>
          <w:rFonts w:asciiTheme="majorHAnsi" w:hAnsiTheme="majorHAnsi" w:cs="Times New Roman"/>
          <w:lang w:val="pt-BR"/>
        </w:rPr>
        <w:t>Memorando</w:t>
      </w:r>
      <w:proofErr w:type="spellEnd"/>
      <w:r w:rsidRPr="007C46A6">
        <w:rPr>
          <w:rFonts w:asciiTheme="majorHAnsi" w:hAnsiTheme="majorHAnsi" w:cs="Times New Roman"/>
          <w:lang w:val="pt-BR"/>
        </w:rPr>
        <w:t xml:space="preserve"> GERTEF nº 023/2022: item </w:t>
      </w:r>
      <w:proofErr w:type="spellStart"/>
      <w:proofErr w:type="gramStart"/>
      <w:r w:rsidRPr="007C46A6">
        <w:rPr>
          <w:rFonts w:asciiTheme="majorHAnsi" w:hAnsiTheme="majorHAnsi" w:cs="Times New Roman"/>
          <w:lang w:val="pt-BR"/>
        </w:rPr>
        <w:t>i</w:t>
      </w:r>
      <w:proofErr w:type="spellEnd"/>
      <w:r w:rsidRPr="007C46A6">
        <w:rPr>
          <w:rFonts w:asciiTheme="majorHAnsi" w:hAnsiTheme="majorHAnsi" w:cs="Times New Roman"/>
          <w:lang w:val="pt-BR"/>
        </w:rPr>
        <w:t>  -</w:t>
      </w:r>
      <w:proofErr w:type="gramEnd"/>
      <w:r w:rsidRPr="007C46A6">
        <w:rPr>
          <w:rFonts w:asciiTheme="majorHAnsi" w:hAnsiTheme="majorHAnsi" w:cs="Times New Roman"/>
          <w:lang w:val="pt-BR"/>
        </w:rPr>
        <w:t> "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em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fiscalização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rotina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para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ausência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registro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pessoa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jurídica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,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como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devemos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tratar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as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empresas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que </w:t>
      </w:r>
      <w:proofErr w:type="spellStart"/>
      <w:r w:rsidRPr="007C46A6">
        <w:rPr>
          <w:rFonts w:asciiTheme="majorHAnsi" w:hAnsiTheme="majorHAnsi" w:cs="Times New Roman"/>
          <w:i/>
          <w:lang w:val="pt-BR"/>
        </w:rPr>
        <w:t>possuem</w:t>
      </w:r>
      <w:proofErr w:type="spellEnd"/>
      <w:r w:rsidRPr="007C46A6">
        <w:rPr>
          <w:rFonts w:asciiTheme="majorHAnsi" w:hAnsiTheme="majorHAnsi" w:cs="Times New Roman"/>
          <w:i/>
          <w:lang w:val="pt-BR"/>
        </w:rPr>
        <w:t xml:space="preserve"> registro inativo no CREA-MG</w:t>
      </w:r>
      <w:r w:rsidRPr="007C46A6">
        <w:rPr>
          <w:rFonts w:asciiTheme="majorHAnsi" w:hAnsiTheme="majorHAnsi" w:cs="Times New Roman"/>
          <w:lang w:val="pt-BR"/>
        </w:rPr>
        <w:t>"</w:t>
      </w:r>
      <w:r>
        <w:rPr>
          <w:rFonts w:asciiTheme="majorHAnsi" w:hAnsiTheme="majorHAnsi" w:cs="Times New Roman"/>
          <w:lang w:val="pt-BR"/>
        </w:rPr>
        <w:t>.</w:t>
      </w:r>
    </w:p>
    <w:p w14:paraId="4F93F66D" w14:textId="77777777" w:rsidR="007C46A6" w:rsidRDefault="007C46A6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58CB57C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21B045C" w14:textId="77777777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7FB6487D" w:rsidR="005D1ADF" w:rsidRDefault="002F2563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Orientar ao Setor de Fiscalização do CAU/MG que, em fiscalização de rotina para ausência de registro profissional de pessoa jurídica, </w:t>
      </w:r>
      <w:r w:rsidR="001A74C3">
        <w:rPr>
          <w:rFonts w:asciiTheme="majorHAnsi" w:hAnsiTheme="majorHAnsi" w:cs="Times New Roman"/>
          <w:lang w:val="pt-BR"/>
        </w:rPr>
        <w:t>caso constatada</w:t>
      </w:r>
      <w:r>
        <w:rPr>
          <w:rFonts w:asciiTheme="majorHAnsi" w:hAnsiTheme="majorHAnsi" w:cs="Times New Roman"/>
          <w:lang w:val="pt-BR"/>
        </w:rPr>
        <w:t xml:space="preserve"> a existência de pessoa jurídica com registro inativo em outros órgãos de fiscalização profissional, não deverá ser considerada como suficiente para a comprovação da atuação na área da arquitetura e urbanismo a</w:t>
      </w:r>
      <w:r w:rsidR="001A74C3">
        <w:rPr>
          <w:rFonts w:asciiTheme="majorHAnsi" w:hAnsiTheme="majorHAnsi" w:cs="Times New Roman"/>
          <w:lang w:val="pt-BR"/>
        </w:rPr>
        <w:t>penas a</w:t>
      </w:r>
      <w:r>
        <w:rPr>
          <w:rFonts w:asciiTheme="majorHAnsi" w:hAnsiTheme="majorHAnsi" w:cs="Times New Roman"/>
          <w:lang w:val="pt-BR"/>
        </w:rPr>
        <w:t xml:space="preserve"> existência, no  </w:t>
      </w:r>
      <w:r w:rsidRPr="00FB09A7">
        <w:rPr>
          <w:rFonts w:asciiTheme="majorHAnsi" w:hAnsiTheme="majorHAnsi" w:cs="Times New Roman"/>
          <w:lang w:val="pt-BR"/>
        </w:rPr>
        <w:t>Cartão do Cadastro Nacional de Pessoas Jurídicas (CNPJ)</w:t>
      </w:r>
      <w:r>
        <w:rPr>
          <w:rFonts w:asciiTheme="majorHAnsi" w:hAnsiTheme="majorHAnsi" w:cs="Times New Roman"/>
          <w:lang w:val="pt-BR"/>
        </w:rPr>
        <w:t xml:space="preserve">, de </w:t>
      </w:r>
      <w:r w:rsidRPr="00FB09A7">
        <w:rPr>
          <w:rFonts w:asciiTheme="majorHAnsi" w:hAnsiTheme="majorHAnsi" w:cs="Times New Roman"/>
          <w:lang w:val="pt-BR"/>
        </w:rPr>
        <w:t>subclasses da Classificação Nacional de Atividades Econômicas (CNAE)</w:t>
      </w:r>
      <w:r>
        <w:rPr>
          <w:rFonts w:asciiTheme="majorHAnsi" w:hAnsiTheme="majorHAnsi" w:cs="Times New Roman"/>
          <w:lang w:val="pt-BR"/>
        </w:rPr>
        <w:t xml:space="preserve"> relacionadas à arquitetura e urbanismo;</w:t>
      </w:r>
    </w:p>
    <w:p w14:paraId="113C3509" w14:textId="4B23329E" w:rsidR="002F2563" w:rsidRDefault="002F2563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Esclarecer</w:t>
      </w:r>
      <w:r w:rsidR="001A74C3">
        <w:rPr>
          <w:rFonts w:asciiTheme="majorHAnsi" w:hAnsiTheme="majorHAnsi" w:cs="Times New Roman"/>
          <w:lang w:val="pt-BR"/>
        </w:rPr>
        <w:t xml:space="preserve"> ainda</w:t>
      </w:r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ao Setor de Fiscalização do CAU/MG que</w:t>
      </w:r>
      <w:r>
        <w:rPr>
          <w:rFonts w:asciiTheme="majorHAnsi" w:hAnsiTheme="majorHAnsi" w:cs="Times New Roman"/>
          <w:lang w:val="pt-BR"/>
        </w:rPr>
        <w:t xml:space="preserve">, para fins de fiscalização </w:t>
      </w:r>
      <w:r>
        <w:rPr>
          <w:rFonts w:asciiTheme="majorHAnsi" w:hAnsiTheme="majorHAnsi" w:cs="Times New Roman"/>
          <w:lang w:val="pt-BR"/>
        </w:rPr>
        <w:t>para ausência de registro profissional de pessoa jurídica</w:t>
      </w:r>
      <w:r>
        <w:rPr>
          <w:rFonts w:asciiTheme="majorHAnsi" w:hAnsiTheme="majorHAnsi" w:cs="Times New Roman"/>
          <w:lang w:val="pt-BR"/>
        </w:rPr>
        <w:t xml:space="preserve">, deverá ser levantado, além da existência de </w:t>
      </w:r>
      <w:proofErr w:type="spellStart"/>
      <w:r>
        <w:rPr>
          <w:rFonts w:asciiTheme="majorHAnsi" w:hAnsiTheme="majorHAnsi" w:cs="Times New Roman"/>
          <w:lang w:val="pt-BR"/>
        </w:rPr>
        <w:t>CNAEs</w:t>
      </w:r>
      <w:proofErr w:type="spellEnd"/>
      <w:r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relacionadas à arquitetura e urbanismo</w:t>
      </w:r>
      <w:r w:rsidR="001A74C3">
        <w:rPr>
          <w:rFonts w:asciiTheme="majorHAnsi" w:hAnsiTheme="majorHAnsi" w:cs="Times New Roman"/>
          <w:lang w:val="pt-BR"/>
        </w:rPr>
        <w:t xml:space="preserve">, outras provas, suficientes para a comprovação de que a empresa está atuando e/ou se apresentando como prestadora de serviços da </w:t>
      </w:r>
      <w:r w:rsidR="001A74C3">
        <w:rPr>
          <w:rFonts w:asciiTheme="majorHAnsi" w:hAnsiTheme="majorHAnsi" w:cs="Times New Roman"/>
          <w:lang w:val="pt-BR"/>
        </w:rPr>
        <w:t>área da arquitetura e urbanismo</w:t>
      </w:r>
      <w:r w:rsidR="001A74C3">
        <w:rPr>
          <w:rFonts w:asciiTheme="majorHAnsi" w:hAnsiTheme="majorHAnsi" w:cs="Times New Roman"/>
          <w:lang w:val="pt-BR"/>
        </w:rPr>
        <w:t>;</w:t>
      </w:r>
    </w:p>
    <w:p w14:paraId="48DB687C" w14:textId="48B30CAF" w:rsidR="001224A1" w:rsidRPr="005D2692" w:rsidRDefault="001224A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esta Deliberação ao conhecimento da Gerência </w:t>
      </w:r>
      <w:r w:rsidR="00762BA1">
        <w:rPr>
          <w:rFonts w:asciiTheme="majorHAnsi" w:hAnsiTheme="majorHAnsi" w:cs="Times New Roman"/>
          <w:lang w:val="pt-BR"/>
        </w:rPr>
        <w:t>Técnica e de Fiscalização</w:t>
      </w:r>
      <w:r w:rsidR="001A74C3">
        <w:rPr>
          <w:rFonts w:asciiTheme="majorHAnsi" w:hAnsiTheme="majorHAnsi" w:cs="Times New Roman"/>
          <w:lang w:val="pt-BR"/>
        </w:rPr>
        <w:t xml:space="preserve"> e para a Coordenação de Fiscalização do CAU/MG, para orientações e esclarecimentos junto aos agentes de fiscalização do corpo técnico deste Conselho de Fiscalização</w:t>
      </w:r>
      <w:r>
        <w:rPr>
          <w:rFonts w:asciiTheme="majorHAnsi" w:hAnsiTheme="majorHAnsi" w:cs="Times New Roman"/>
          <w:lang w:val="pt-BR"/>
        </w:rPr>
        <w:t>;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5BA03F07" w:rsidR="00EB3D37" w:rsidRPr="008C59E1" w:rsidRDefault="00A4135F" w:rsidP="005D2692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762BA1" w:rsidRPr="00762BA1">
        <w:rPr>
          <w:rFonts w:asciiTheme="majorHAnsi" w:hAnsiTheme="majorHAnsi" w:cs="Times New Roman"/>
          <w:lang w:val="pt-BR"/>
        </w:rPr>
        <w:t>24</w:t>
      </w:r>
      <w:r w:rsidR="002B7732" w:rsidRPr="00762BA1">
        <w:rPr>
          <w:rFonts w:asciiTheme="majorHAnsi" w:hAnsiTheme="majorHAnsi" w:cs="Times New Roman"/>
          <w:lang w:val="pt-BR"/>
        </w:rPr>
        <w:t xml:space="preserve"> de </w:t>
      </w:r>
      <w:r w:rsidR="00762BA1" w:rsidRPr="00762BA1">
        <w:rPr>
          <w:rFonts w:asciiTheme="majorHAnsi" w:hAnsiTheme="majorHAnsi" w:cs="Times New Roman"/>
          <w:lang w:val="pt-BR"/>
        </w:rPr>
        <w:t>outubro</w:t>
      </w:r>
      <w:r w:rsidR="002B7732" w:rsidRPr="00762BA1">
        <w:rPr>
          <w:rFonts w:asciiTheme="majorHAnsi" w:hAnsiTheme="majorHAnsi" w:cs="Times New Roman"/>
          <w:lang w:val="pt-BR"/>
        </w:rPr>
        <w:t xml:space="preserve"> de 202</w:t>
      </w:r>
      <w:r w:rsidR="00CD2BBF" w:rsidRPr="00762BA1">
        <w:rPr>
          <w:rFonts w:asciiTheme="majorHAnsi" w:hAnsiTheme="majorHAnsi" w:cs="Times New Roman"/>
          <w:lang w:val="pt-BR"/>
        </w:rPr>
        <w:t>2</w:t>
      </w:r>
      <w:r w:rsidR="00584354" w:rsidRPr="00762BA1">
        <w:rPr>
          <w:rFonts w:asciiTheme="majorHAnsi" w:hAnsiTheme="majorHAnsi" w:cs="Times New Roman"/>
          <w:lang w:val="pt-BR"/>
        </w:rPr>
        <w:t>.</w:t>
      </w:r>
    </w:p>
    <w:p w14:paraId="0E160C75" w14:textId="2326F618" w:rsidR="00B21808" w:rsidRPr="008C59E1" w:rsidRDefault="00E42659" w:rsidP="005D2692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="007C46A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198.3.4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5D2692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2D9EC710" w:rsidR="00340EEC" w:rsidRPr="0044259C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5D2692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3F476A48" w:rsidR="00340EEC" w:rsidRPr="005D2692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5D2692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31C53236" w:rsidR="00340EEC" w:rsidRPr="005D2692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5D2692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7524043A" w:rsidR="00340EEC" w:rsidRPr="00EC3313" w:rsidRDefault="00762BA1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17FA64ED" w:rsidR="00303BF4" w:rsidRPr="001A74C3" w:rsidRDefault="00B21808" w:rsidP="001A74C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303BF4" w:rsidRPr="001A74C3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91BC1" w14:textId="77777777" w:rsidR="00D5761F" w:rsidRDefault="00D5761F" w:rsidP="007E22C9">
      <w:r>
        <w:separator/>
      </w:r>
    </w:p>
  </w:endnote>
  <w:endnote w:type="continuationSeparator" w:id="0">
    <w:p w14:paraId="69FC5F54" w14:textId="77777777" w:rsidR="00D5761F" w:rsidRDefault="00D5761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9F27" w14:textId="77777777" w:rsidR="00D5761F" w:rsidRDefault="00D5761F" w:rsidP="007E22C9">
      <w:r>
        <w:separator/>
      </w:r>
    </w:p>
  </w:footnote>
  <w:footnote w:type="continuationSeparator" w:id="0">
    <w:p w14:paraId="325F71E0" w14:textId="77777777" w:rsidR="00D5761F" w:rsidRDefault="00D5761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4C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2F2563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6A6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BF7D38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5761F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007-8F1A-4928-B5FD-34785560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2022-01-24T14:46:00Z</cp:lastPrinted>
  <dcterms:created xsi:type="dcterms:W3CDTF">2022-11-08T16:44:00Z</dcterms:created>
  <dcterms:modified xsi:type="dcterms:W3CDTF">2022-11-08T18:09:00Z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