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45596F" w14:paraId="4EAD2C86" w14:textId="77777777" w:rsidTr="0063417F">
        <w:trPr>
          <w:trHeight w:val="33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F11990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2D463BB2" w:rsidR="00D673DB" w:rsidRPr="00F11990" w:rsidRDefault="00D673DB" w:rsidP="00DF51B6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105EC1" w:rsidRPr="00F11990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</w:t>
            </w:r>
            <w:r w:rsidR="00F11990" w:rsidRPr="00F11990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="00DF51B6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Deliberação </w:t>
            </w:r>
            <w:r w:rsidR="00DF51B6" w:rsidRPr="00DF51B6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CEP</w:t>
            </w:r>
            <w:r w:rsidR="00DF51B6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-CAU/BR </w:t>
            </w:r>
            <w:r w:rsidR="00DF51B6" w:rsidRPr="00DF51B6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036-2021</w:t>
            </w:r>
            <w:r w:rsidR="00DF51B6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.</w:t>
            </w:r>
          </w:p>
        </w:tc>
      </w:tr>
      <w:tr w:rsidR="00D673DB" w:rsidRPr="0045596F" w14:paraId="698B0460" w14:textId="77777777" w:rsidTr="0063417F">
        <w:trPr>
          <w:trHeight w:val="33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F11990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0884DDCD" w:rsidR="003E22CE" w:rsidRPr="00F11990" w:rsidRDefault="00D673DB" w:rsidP="00A45896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Comissão de Exercício Profissional</w:t>
            </w:r>
            <w:r w:rsidR="0063417F" w:rsidRPr="00F11990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; </w:t>
            </w:r>
            <w:r w:rsidR="00A45896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Plenário de Conselheiros</w:t>
            </w:r>
            <w:r w:rsidR="00AC2C8D" w:rsidRPr="00F11990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Presidência</w:t>
            </w:r>
          </w:p>
        </w:tc>
      </w:tr>
      <w:tr w:rsidR="00D673DB" w:rsidRPr="0045596F" w14:paraId="6C7AC6E9" w14:textId="77777777" w:rsidTr="00F11990">
        <w:trPr>
          <w:trHeight w:val="57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44617FDB" w:rsidR="00D673DB" w:rsidRPr="00F11990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bookmarkStart w:id="0" w:name="_Hlk65249485"/>
            <w:r w:rsidRPr="00F11990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6A53FA8B" w:rsidR="00D673DB" w:rsidRPr="00F11990" w:rsidRDefault="0045596F" w:rsidP="00F11990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45596F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CONTRIBUIÇÕES PARA O ANTEPROJETO DE RESOLUÇÃO, QUE ALTERA A RESOLUÇÃO CAU/BR N° 51, DE 12 DE JULHO DE 2013</w:t>
            </w:r>
          </w:p>
        </w:tc>
      </w:tr>
      <w:bookmarkEnd w:id="0"/>
      <w:tr w:rsidR="00D673DB" w:rsidRPr="0045596F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45596F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0ED6A576" w:rsidR="00D673DB" w:rsidRDefault="00D673DB" w:rsidP="003B51DE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45596F">
              <w:rPr>
                <w:rFonts w:asciiTheme="majorHAnsi" w:hAnsiTheme="majorHAnsi" w:cs="Times New Roman"/>
                <w:b/>
                <w:lang w:val="pt-BR"/>
              </w:rPr>
              <w:t>181.2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581A01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834AFCE" w14:textId="1E1F3FF9" w:rsidR="008B36A9" w:rsidRPr="00581A01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</w:t>
      </w:r>
      <w:r w:rsidR="0045596F" w:rsidRPr="00581A01">
        <w:rPr>
          <w:rFonts w:asciiTheme="majorHAnsi" w:hAnsiTheme="majorHAnsi" w:cs="Times New Roman"/>
          <w:sz w:val="21"/>
          <w:szCs w:val="21"/>
          <w:lang w:val="pt-BR"/>
        </w:rPr>
        <w:t>extra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ordinariamente em ambiente virtual, através de videoconferência, no dia </w:t>
      </w:r>
      <w:r w:rsidR="0045596F" w:rsidRPr="00581A01">
        <w:rPr>
          <w:rFonts w:asciiTheme="majorHAnsi" w:hAnsiTheme="majorHAnsi" w:cs="Times New Roman"/>
          <w:sz w:val="21"/>
          <w:szCs w:val="21"/>
          <w:lang w:val="pt-BR"/>
        </w:rPr>
        <w:t>25</w:t>
      </w:r>
      <w:r w:rsidR="003E22CE"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45596F" w:rsidRPr="00581A01">
        <w:rPr>
          <w:rFonts w:asciiTheme="majorHAnsi" w:hAnsiTheme="majorHAnsi" w:cs="Times New Roman"/>
          <w:sz w:val="21"/>
          <w:szCs w:val="21"/>
          <w:lang w:val="pt-BR"/>
        </w:rPr>
        <w:t>agosto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 de 2021, após análise do assunto em epígrafe, no uso das competências </w:t>
      </w:r>
      <w:r w:rsidR="003C06C1"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normativas e regimentais, 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e</w:t>
      </w:r>
    </w:p>
    <w:p w14:paraId="72FB5958" w14:textId="77777777" w:rsidR="003B51DE" w:rsidRPr="00581A01" w:rsidRDefault="003B51DE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721C6DB4" w14:textId="77777777" w:rsidR="003B51DE" w:rsidRPr="00581A01" w:rsidRDefault="003B51DE" w:rsidP="003B51DE">
      <w:pPr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Considerando o disposto no Regimento Interno do CAU/MG:</w:t>
      </w:r>
    </w:p>
    <w:p w14:paraId="47A978BE" w14:textId="77777777" w:rsidR="003B51DE" w:rsidRPr="00581A01" w:rsidRDefault="003B51DE" w:rsidP="003B51D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</w:p>
    <w:p w14:paraId="4B89EFA8" w14:textId="5C817FC9" w:rsidR="003B51DE" w:rsidRPr="00581A01" w:rsidRDefault="003B51DE" w:rsidP="003B51D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1338EDD4" w14:textId="77777777" w:rsidR="003B51DE" w:rsidRPr="00581A01" w:rsidRDefault="003B51DE" w:rsidP="003B51D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I - </w:t>
      </w:r>
      <w:proofErr w:type="gramStart"/>
      <w:r w:rsidRPr="00581A01">
        <w:rPr>
          <w:rFonts w:asciiTheme="majorHAnsi" w:hAnsiTheme="majorHAnsi" w:cs="Times New Roman"/>
          <w:i/>
          <w:iCs/>
          <w:sz w:val="21"/>
          <w:szCs w:val="21"/>
          <w:lang w:val="pt-BR"/>
        </w:rPr>
        <w:t>propor</w:t>
      </w:r>
      <w:proofErr w:type="gramEnd"/>
      <w:r w:rsidRPr="00581A01">
        <w:rPr>
          <w:rFonts w:asciiTheme="majorHAnsi" w:hAnsiTheme="majorHAnsi" w:cs="Times New Roman"/>
          <w:i/>
          <w:iCs/>
          <w:sz w:val="21"/>
          <w:szCs w:val="21"/>
          <w:lang w:val="pt-BR"/>
        </w:rPr>
        <w:t>, apreciar e deliberar sobre aprimoramento de atos normativos do CAU/BR referentes ao exercício profissional, a ser encaminhado via presidência do CAU/MG para deliberação pelo CAU/BR, sobre procedimentos para:</w:t>
      </w:r>
    </w:p>
    <w:p w14:paraId="7482E469" w14:textId="480234E5" w:rsidR="003B51DE" w:rsidRPr="00581A01" w:rsidRDefault="003B51DE" w:rsidP="003B51D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i/>
          <w:iCs/>
          <w:sz w:val="21"/>
          <w:szCs w:val="21"/>
          <w:lang w:val="pt-BR"/>
        </w:rPr>
        <w:t>d) atividades técnicas no exercício da Arquitetura e Urbanismo;</w:t>
      </w:r>
    </w:p>
    <w:p w14:paraId="05BBE9AF" w14:textId="08867E2D" w:rsidR="003B51DE" w:rsidRPr="00581A01" w:rsidRDefault="00581A01" w:rsidP="003B51D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0A497DC8" w14:textId="77777777" w:rsidR="00581A01" w:rsidRPr="00581A01" w:rsidRDefault="00581A01" w:rsidP="00581A0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i/>
          <w:iCs/>
          <w:sz w:val="21"/>
          <w:szCs w:val="21"/>
          <w:lang w:val="pt-BR"/>
        </w:rPr>
        <w:t>VIII - propor, apreciar e deliberar sobre questionamentos a atos já normatizados pelo CAU/BR referentes a:</w:t>
      </w:r>
    </w:p>
    <w:p w14:paraId="1A7FB904" w14:textId="77777777" w:rsidR="00581A01" w:rsidRPr="00581A01" w:rsidRDefault="00581A01" w:rsidP="00581A0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6F7DFF0F" w14:textId="247317AA" w:rsidR="00581A01" w:rsidRPr="00581A01" w:rsidRDefault="00581A01" w:rsidP="00581A0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i/>
          <w:iCs/>
          <w:sz w:val="21"/>
          <w:szCs w:val="21"/>
          <w:lang w:val="pt-BR"/>
        </w:rPr>
        <w:t>i) atividades técnicas no exercício da Arquitetura e Urbanismo;</w:t>
      </w:r>
    </w:p>
    <w:p w14:paraId="2B901821" w14:textId="77777777" w:rsidR="003B51DE" w:rsidRPr="00581A01" w:rsidRDefault="003B51DE" w:rsidP="0045596F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CD9F542" w14:textId="03EC8BD6" w:rsidR="0045596F" w:rsidRPr="00581A01" w:rsidRDefault="0045596F" w:rsidP="0045596F">
      <w:pPr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Considerando o que disposto</w:t>
      </w:r>
      <w:r w:rsidR="003B51DE"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 em normas de regulamentação de exercício profissional:</w:t>
      </w:r>
    </w:p>
    <w:p w14:paraId="1D65D41A" w14:textId="77777777" w:rsidR="0045596F" w:rsidRPr="00581A01" w:rsidRDefault="0045596F" w:rsidP="003B51DE">
      <w:pPr>
        <w:pStyle w:val="PargrafodaLista"/>
        <w:numPr>
          <w:ilvl w:val="0"/>
          <w:numId w:val="20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Decreto nº 23.569, de 11 de dezembro de 1933, que “Regula o exercício das profissões de engenheiro, de arquiteto e de agrimensor”,</w:t>
      </w:r>
    </w:p>
    <w:p w14:paraId="66F789BE" w14:textId="3F7C7F2A" w:rsidR="0045596F" w:rsidRPr="00581A01" w:rsidRDefault="0045596F" w:rsidP="003B51DE">
      <w:pPr>
        <w:pStyle w:val="PargrafodaLista"/>
        <w:numPr>
          <w:ilvl w:val="0"/>
          <w:numId w:val="20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Lei nº 5.194, de 24 de dezembro de 1966, que “Regula o exercício das profissões de Engenheiro, Arquiteto e Engenheiro-Agrônomo”;</w:t>
      </w:r>
    </w:p>
    <w:p w14:paraId="21BC71CB" w14:textId="77777777" w:rsidR="0045596F" w:rsidRPr="00581A01" w:rsidRDefault="0045596F" w:rsidP="003B51DE">
      <w:pPr>
        <w:pStyle w:val="PargrafodaLista"/>
        <w:numPr>
          <w:ilvl w:val="0"/>
          <w:numId w:val="20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Lei nº 6.664, de 26 de junho de 1979 que “Disciplina a profissão de Geógrafo e dá outras providências”</w:t>
      </w:r>
    </w:p>
    <w:p w14:paraId="4C17543D" w14:textId="77777777" w:rsidR="0045596F" w:rsidRPr="00581A01" w:rsidRDefault="0045596F" w:rsidP="003B51DE">
      <w:pPr>
        <w:pStyle w:val="PargrafodaLista"/>
        <w:numPr>
          <w:ilvl w:val="0"/>
          <w:numId w:val="20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Lei nº 7.287, de 18 de dezembro de 1984 que “Dispõe sobre a Regulamentação da Profissão de Museólogo”</w:t>
      </w:r>
    </w:p>
    <w:p w14:paraId="585D5991" w14:textId="57406A75" w:rsidR="0045596F" w:rsidRPr="00581A01" w:rsidRDefault="0045596F" w:rsidP="003B51DE">
      <w:pPr>
        <w:pStyle w:val="PargrafodaLista"/>
        <w:numPr>
          <w:ilvl w:val="0"/>
          <w:numId w:val="20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Decreto nº 90.922, de 6 de fevereiro de 1985, que “Regulamenta a Lei nº 5.524, de 5 de novembro de 1968, que ‘dispõe sobre o exercício da profissão de técnico industrial e técnico agrícola de nível médio ou de 2º grau”;</w:t>
      </w:r>
    </w:p>
    <w:p w14:paraId="14A57E60" w14:textId="77777777" w:rsidR="0045596F" w:rsidRPr="00581A01" w:rsidRDefault="0045596F" w:rsidP="003B51DE">
      <w:pPr>
        <w:pStyle w:val="PargrafodaLista"/>
        <w:numPr>
          <w:ilvl w:val="0"/>
          <w:numId w:val="20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Lei nº 13.369, de 12 de dezembro de 2016 que “Dispõe sobre a garantia do exercício da profissão de designer de interiores e ambientes e dá outras providências”</w:t>
      </w:r>
    </w:p>
    <w:p w14:paraId="5C3DA733" w14:textId="77777777" w:rsidR="0045596F" w:rsidRPr="00581A01" w:rsidRDefault="0045596F" w:rsidP="003B51DE">
      <w:pPr>
        <w:pStyle w:val="PargrafodaLista"/>
        <w:numPr>
          <w:ilvl w:val="0"/>
          <w:numId w:val="20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Lei nº 13.653, de 18 de abril de 2018 que “Dispõe sobre a regulamentação da profissão de arqueólogo e dá outras providências”’;</w:t>
      </w:r>
    </w:p>
    <w:p w14:paraId="0981BA4F" w14:textId="77777777" w:rsidR="0045596F" w:rsidRPr="00581A01" w:rsidRDefault="0045596F" w:rsidP="003B51DE">
      <w:pPr>
        <w:pStyle w:val="PargrafodaLista"/>
        <w:numPr>
          <w:ilvl w:val="0"/>
          <w:numId w:val="20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Lei nº 14.038, de 17 de agosto de 2020 que “Dispõe sobre a regulamentação da profissão de Historiador e dá outras providências”</w:t>
      </w:r>
    </w:p>
    <w:p w14:paraId="1D55BD1D" w14:textId="77777777" w:rsidR="0045596F" w:rsidRPr="00581A01" w:rsidRDefault="0045596F" w:rsidP="0045596F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3392C850" w14:textId="77777777" w:rsidR="003B51DE" w:rsidRPr="00581A01" w:rsidRDefault="0045596F" w:rsidP="003B51DE">
      <w:p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Considerando o que dispõem</w:t>
      </w:r>
      <w:r w:rsidR="003B51DE"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 as normas do 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então Conselho Federal de Engenharia Arquitetura e Agronomia</w:t>
      </w:r>
      <w:r w:rsidR="003B51DE" w:rsidRPr="00581A01"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274B829C" w14:textId="211B78C2" w:rsidR="003B51DE" w:rsidRPr="00581A01" w:rsidRDefault="003B51DE" w:rsidP="003B51DE">
      <w:pPr>
        <w:pStyle w:val="PargrafodaLista"/>
        <w:numPr>
          <w:ilvl w:val="0"/>
          <w:numId w:val="22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Resolução CONFEA </w:t>
      </w:r>
      <w:r w:rsidR="0045596F" w:rsidRPr="00581A01">
        <w:rPr>
          <w:rFonts w:asciiTheme="majorHAnsi" w:hAnsiTheme="majorHAnsi" w:cs="Times New Roman"/>
          <w:sz w:val="21"/>
          <w:szCs w:val="21"/>
          <w:lang w:val="pt-BR"/>
        </w:rPr>
        <w:t>218, de 29 de junho de 1973, que “Discrimina atividades das diferentes modalidades profissionais da Engenh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aria, Arquitetura e Agronomia”;</w:t>
      </w:r>
    </w:p>
    <w:p w14:paraId="15C49056" w14:textId="16DE74BD" w:rsidR="0045596F" w:rsidRPr="00581A01" w:rsidRDefault="003B51DE" w:rsidP="003B51DE">
      <w:pPr>
        <w:pStyle w:val="PargrafodaLista"/>
        <w:numPr>
          <w:ilvl w:val="0"/>
          <w:numId w:val="21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Resolução CONFEA </w:t>
      </w:r>
      <w:r w:rsidR="0045596F" w:rsidRPr="00581A01">
        <w:rPr>
          <w:rFonts w:asciiTheme="majorHAnsi" w:hAnsiTheme="majorHAnsi" w:cs="Times New Roman"/>
          <w:sz w:val="21"/>
          <w:szCs w:val="21"/>
          <w:lang w:val="pt-BR"/>
        </w:rPr>
        <w:t>1.010, de 22 de agosto de 2005, que “Dispõe sobre a regulamentação da atribuição de títulos profissionais, atividades, competências e caracterização do âmbito de atuação dos profissionais inseridos no Sistema CONFEA/CREA, para efeito de fiscalização do exercício profissional”;</w:t>
      </w:r>
    </w:p>
    <w:p w14:paraId="30E1F7CE" w14:textId="77777777" w:rsidR="0045596F" w:rsidRPr="00581A01" w:rsidRDefault="0045596F" w:rsidP="0045596F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67EC5507" w14:textId="77777777" w:rsidR="0045596F" w:rsidRPr="00581A01" w:rsidRDefault="0045596F" w:rsidP="0045596F">
      <w:pPr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Considerando o que dispõem as Resoluções do Conselho Nacional de Educação – Câmara de Ensino Superior (CNE/CES):</w:t>
      </w:r>
    </w:p>
    <w:p w14:paraId="0075EB6E" w14:textId="4E30F72D" w:rsidR="0045596F" w:rsidRPr="00581A01" w:rsidRDefault="0045596F" w:rsidP="0045596F">
      <w:pPr>
        <w:pStyle w:val="PargrafodaLista"/>
        <w:numPr>
          <w:ilvl w:val="0"/>
          <w:numId w:val="19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lastRenderedPageBreak/>
        <w:t>Resolução CNE/CES nº 2, de 17 de junho de 2010, que “Institui as Diretrizes Curriculares Nacionais do curso de graduação em Arquitetura e Urbanismo, alterando dispositivos da Resolução CNE/CES nº 6/2006” e modificada em parte pela Resolução CNE/CES nº 1, de 26 de março de 2021;</w:t>
      </w:r>
    </w:p>
    <w:p w14:paraId="46D5830C" w14:textId="478768EA" w:rsidR="0045596F" w:rsidRPr="00581A01" w:rsidRDefault="0045596F" w:rsidP="0045596F">
      <w:pPr>
        <w:pStyle w:val="PargrafodaLista"/>
        <w:numPr>
          <w:ilvl w:val="0"/>
          <w:numId w:val="19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Resolução CNE/CES nº 2, de 24 de abril de 2019, que “Institui Diretrizes Curriculares Nacionais do Curso de Graduação em Engenharia” e modificada em parte pela Resolução CNE/CES nº 1, de 26 de março de 2021;</w:t>
      </w:r>
    </w:p>
    <w:p w14:paraId="08114406" w14:textId="30D0C49B" w:rsidR="0045596F" w:rsidRPr="00581A01" w:rsidRDefault="0045596F" w:rsidP="0045596F">
      <w:pPr>
        <w:pStyle w:val="PargrafodaLista"/>
        <w:numPr>
          <w:ilvl w:val="0"/>
          <w:numId w:val="19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Resolução CNE/CES nº 3, de 2 de fevereiro de 2006, que “Institui as Diretrizes Curriculares Nacionais para o curso de graduação em Engenharia Florestal e dá outras providências”;</w:t>
      </w:r>
    </w:p>
    <w:p w14:paraId="196B3EE6" w14:textId="541341DA" w:rsidR="0045596F" w:rsidRPr="00581A01" w:rsidRDefault="0045596F" w:rsidP="0045596F">
      <w:pPr>
        <w:pStyle w:val="PargrafodaLista"/>
        <w:numPr>
          <w:ilvl w:val="0"/>
          <w:numId w:val="19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Resolução CNE/CES nº 1, de 2 de fevereiro de 2006, que “Institui as Diretrizes Curriculares Nacionais para o curso de graduação em Engenharia Agronômica ou Agronomia e dá outras providências”;</w:t>
      </w:r>
    </w:p>
    <w:p w14:paraId="4258B12E" w14:textId="01D23658" w:rsidR="0045596F" w:rsidRPr="00581A01" w:rsidRDefault="0045596F" w:rsidP="0045596F">
      <w:pPr>
        <w:pStyle w:val="PargrafodaLista"/>
        <w:numPr>
          <w:ilvl w:val="0"/>
          <w:numId w:val="19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Resolução CNE/CES nº 2, de 2 de fevereiro de 2006, que “Institui as Diretrizes Curriculares Nacionais para o curso de graduação em Engenharia Agrícola e dá outras providências”;</w:t>
      </w:r>
    </w:p>
    <w:p w14:paraId="5F921151" w14:textId="787B81E4" w:rsidR="0045596F" w:rsidRPr="00581A01" w:rsidRDefault="0045596F" w:rsidP="0045596F">
      <w:pPr>
        <w:pStyle w:val="PargrafodaLista"/>
        <w:numPr>
          <w:ilvl w:val="0"/>
          <w:numId w:val="19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Resolução CNE/CES nº 14, de 13 de março de 2002, que “Estabelece as Diretrizes Curriculares para os cursos de Geografia”;</w:t>
      </w:r>
    </w:p>
    <w:p w14:paraId="01AF47F1" w14:textId="35330350" w:rsidR="0045596F" w:rsidRPr="00581A01" w:rsidRDefault="0045596F" w:rsidP="0045596F">
      <w:pPr>
        <w:pStyle w:val="PargrafodaLista"/>
        <w:numPr>
          <w:ilvl w:val="0"/>
          <w:numId w:val="19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Resolução CNE/CES nº 5, de 8 de março de 2004, que “Aprova as Diretrizes Curriculares Nacionais do Curso de Graduação em Design, e dá outras providências”;</w:t>
      </w:r>
    </w:p>
    <w:p w14:paraId="3C67912A" w14:textId="0112EBCF" w:rsidR="0045596F" w:rsidRPr="00581A01" w:rsidRDefault="0045596F" w:rsidP="0045596F">
      <w:pPr>
        <w:pStyle w:val="PargrafodaLista"/>
        <w:numPr>
          <w:ilvl w:val="0"/>
          <w:numId w:val="19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Resolução CNE/CES nº 7, de 11 de março de 2002, que “Estabelece as Diretrizes Curriculares para os cursos de Ciências Biológicas (Bacharelado e Licenciatura) ”;</w:t>
      </w:r>
    </w:p>
    <w:p w14:paraId="6C38BCF8" w14:textId="4DED0C36" w:rsidR="0045596F" w:rsidRPr="00581A01" w:rsidRDefault="0045596F" w:rsidP="0045596F">
      <w:pPr>
        <w:pStyle w:val="PargrafodaLista"/>
        <w:numPr>
          <w:ilvl w:val="0"/>
          <w:numId w:val="19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Resolução CNE/CES nº 13, de 13 de março de 2002, que “Estabelece as Diretrizes Curriculares para os cursos de História”;</w:t>
      </w:r>
    </w:p>
    <w:p w14:paraId="57B6563A" w14:textId="19FA4D4F" w:rsidR="0045596F" w:rsidRPr="00581A01" w:rsidRDefault="0045596F" w:rsidP="0045596F">
      <w:pPr>
        <w:pStyle w:val="PargrafodaLista"/>
        <w:numPr>
          <w:ilvl w:val="0"/>
          <w:numId w:val="19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Resolução CNE/CES nº 21, de 13 de março de 2002, que “Estabelece as Diretrizes Curriculares para os cursos de Museologia”;</w:t>
      </w:r>
    </w:p>
    <w:p w14:paraId="2AA3283D" w14:textId="67E2008B" w:rsidR="00581A01" w:rsidRPr="00581A01" w:rsidRDefault="00581A01" w:rsidP="0045596F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2A5C427E" w14:textId="43330E65" w:rsidR="00B64488" w:rsidRPr="00581A01" w:rsidRDefault="0045596F" w:rsidP="003B51DE">
      <w:pPr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Considerando a Deliberação </w:t>
      </w:r>
      <w:r w:rsidR="003B51DE"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CEP-CAU/BR 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036/2021 da que aprova o anteprojeto de Resolução, em caráter de urgência, que altera a Resolução CAU/BR n° 51, de 12 de julho de 2013.</w:t>
      </w:r>
    </w:p>
    <w:p w14:paraId="00DAEBB2" w14:textId="77777777" w:rsidR="003B51DE" w:rsidRPr="00581A01" w:rsidRDefault="003B51DE" w:rsidP="003B51DE">
      <w:pPr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55272B05" w14:textId="7069EAA9" w:rsidR="008B36A9" w:rsidRPr="00581A01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b/>
          <w:bCs/>
          <w:sz w:val="21"/>
          <w:szCs w:val="21"/>
          <w:lang w:val="pt-BR"/>
        </w:rPr>
        <w:t>DELIBEROU</w:t>
      </w:r>
    </w:p>
    <w:p w14:paraId="420E6ED4" w14:textId="4DDD6454" w:rsidR="008B36A9" w:rsidRPr="00581A01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0E1940C6" w14:textId="1D10515D" w:rsidR="003B51DE" w:rsidRPr="00581A01" w:rsidRDefault="003B51DE" w:rsidP="003B51DE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Aprovar as contribuições para o anteprojeto de Resolução, que altera a Resolução CAU/BR n° 51, de 12 de julho de 2013, conforme texto apresentado no Anexo I desta Deliberação, com as justificativas e apresentações dispostas no Anexo II desta deliberação;</w:t>
      </w:r>
    </w:p>
    <w:p w14:paraId="160E229F" w14:textId="77777777" w:rsidR="003B51DE" w:rsidRPr="00581A01" w:rsidRDefault="003B51DE" w:rsidP="003B51DE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sz w:val="21"/>
          <w:szCs w:val="21"/>
          <w:lang w:val="pt-BR"/>
        </w:rPr>
      </w:pPr>
    </w:p>
    <w:p w14:paraId="79D6AF36" w14:textId="442FAF4C" w:rsidR="003B51DE" w:rsidRPr="00581A01" w:rsidRDefault="003B51DE" w:rsidP="003B51DE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Encaminhar esta Deliberação para análise e deliberação pelo Plenário do CAU/MG.</w:t>
      </w:r>
    </w:p>
    <w:p w14:paraId="574F27FC" w14:textId="77777777" w:rsidR="00880ED6" w:rsidRPr="00581A01" w:rsidRDefault="00880ED6" w:rsidP="00880ED6">
      <w:pPr>
        <w:pStyle w:val="PargrafodaLista"/>
        <w:rPr>
          <w:rFonts w:asciiTheme="majorHAnsi" w:hAnsiTheme="majorHAnsi" w:cs="Times New Roman"/>
          <w:sz w:val="21"/>
          <w:szCs w:val="21"/>
          <w:lang w:val="pt-BR"/>
        </w:rPr>
      </w:pPr>
    </w:p>
    <w:p w14:paraId="3A981601" w14:textId="4C5D38CC" w:rsidR="002E570A" w:rsidRPr="00581A01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Belo Horizonte, </w:t>
      </w:r>
      <w:r w:rsidR="003B51DE" w:rsidRPr="00581A01">
        <w:rPr>
          <w:rFonts w:asciiTheme="majorHAnsi" w:hAnsiTheme="majorHAnsi" w:cs="Times New Roman"/>
          <w:sz w:val="21"/>
          <w:szCs w:val="21"/>
          <w:lang w:val="pt-BR"/>
        </w:rPr>
        <w:t>25</w:t>
      </w:r>
      <w:r w:rsidR="00B64488"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3B51DE" w:rsidRPr="00581A01">
        <w:rPr>
          <w:rFonts w:asciiTheme="majorHAnsi" w:hAnsiTheme="majorHAnsi" w:cs="Times New Roman"/>
          <w:sz w:val="21"/>
          <w:szCs w:val="21"/>
          <w:lang w:val="pt-BR"/>
        </w:rPr>
        <w:t>agosto</w:t>
      </w:r>
      <w:r w:rsidR="00B64488"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037BB2" w:rsidRPr="00581A01">
        <w:rPr>
          <w:rFonts w:asciiTheme="majorHAnsi" w:hAnsiTheme="majorHAnsi" w:cs="Times New Roman"/>
          <w:sz w:val="21"/>
          <w:szCs w:val="21"/>
          <w:lang w:val="pt-BR"/>
        </w:rPr>
        <w:t>de 2021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14:paraId="795CAA3A" w14:textId="77777777" w:rsidR="003B51DE" w:rsidRDefault="003B51DE" w:rsidP="002E570A">
      <w:pPr>
        <w:suppressLineNumbers/>
        <w:rPr>
          <w:rFonts w:asciiTheme="majorHAnsi" w:hAnsiTheme="majorHAnsi" w:cs="Times New Roman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45596F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45596F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45596F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5657EA98" w:rsidR="009C2FC9" w:rsidRPr="00035DCC" w:rsidRDefault="00B64488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45596F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492DAA09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0161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Paulo Victor Yamim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45596F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</w:p>
          <w:p w14:paraId="2AF3C892" w14:textId="0B27D458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0161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45596F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Rafael Decina Arantes</w:t>
            </w:r>
          </w:p>
          <w:p w14:paraId="29049A67" w14:textId="0C4A2A1F" w:rsidR="009C2FC9" w:rsidRPr="00035DCC" w:rsidRDefault="00B64488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0161DE" w:rsidRPr="00C13A8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5FAE2A0A" w:rsidR="00B0396E" w:rsidRDefault="00B0396E" w:rsidP="00B26BE0">
      <w:pPr>
        <w:rPr>
          <w:sz w:val="20"/>
          <w:szCs w:val="20"/>
          <w:lang w:val="pt-BR"/>
        </w:rPr>
      </w:pPr>
    </w:p>
    <w:p w14:paraId="378F9F5E" w14:textId="143E9D4A" w:rsidR="00B0396E" w:rsidRDefault="00B0396E">
      <w:pPr>
        <w:widowControl/>
        <w:rPr>
          <w:sz w:val="20"/>
          <w:szCs w:val="20"/>
          <w:lang w:val="pt-BR"/>
        </w:rPr>
      </w:pPr>
    </w:p>
    <w:p w14:paraId="02186255" w14:textId="77777777" w:rsidR="004D1818" w:rsidRDefault="004D1818">
      <w:pPr>
        <w:widowControl/>
        <w:rPr>
          <w:sz w:val="20"/>
          <w:szCs w:val="20"/>
          <w:lang w:val="pt-BR"/>
        </w:rPr>
      </w:pPr>
    </w:p>
    <w:p w14:paraId="51424E96" w14:textId="77777777" w:rsidR="004D1818" w:rsidRDefault="004D1818" w:rsidP="004D181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lastRenderedPageBreak/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77CDB7E4" w14:textId="77777777" w:rsidR="004D1818" w:rsidRDefault="004D1818" w:rsidP="004D181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A149925" w14:textId="77777777" w:rsidR="004D1818" w:rsidRDefault="004D1818" w:rsidP="004D181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343E8E5" w14:textId="77777777" w:rsidR="004D1818" w:rsidRDefault="004D1818" w:rsidP="004D181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F4A8BD6" w14:textId="77777777" w:rsidR="004D1818" w:rsidRDefault="004D1818" w:rsidP="004D181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39E340EC" w14:textId="77777777" w:rsidR="004D1818" w:rsidRDefault="004D1818" w:rsidP="004D1818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>
        <w:rPr>
          <w:rFonts w:asciiTheme="majorHAnsi" w:hAnsiTheme="majorHAnsi" w:cs="Arial"/>
          <w:szCs w:val="20"/>
          <w:lang w:val="pt-BR" w:eastAsia="pt-BR"/>
        </w:rPr>
        <w:t>Tadeu Araújo de Souza Santos</w:t>
      </w:r>
    </w:p>
    <w:p w14:paraId="5E3E6FB4" w14:textId="77777777" w:rsidR="004D1818" w:rsidRDefault="004D1818" w:rsidP="004D1818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1C5041A8" w14:textId="77777777" w:rsidR="004D1818" w:rsidRDefault="004D1818" w:rsidP="004D1818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Comissão de Exercício Profissional – CEP-CAU/MG</w:t>
      </w:r>
    </w:p>
    <w:p w14:paraId="7C81161D" w14:textId="77777777" w:rsidR="004D1818" w:rsidRDefault="004D1818">
      <w:pPr>
        <w:widowControl/>
        <w:rPr>
          <w:sz w:val="20"/>
          <w:szCs w:val="20"/>
          <w:lang w:val="pt-BR"/>
        </w:rPr>
      </w:pPr>
      <w:bookmarkStart w:id="1" w:name="_GoBack"/>
      <w:bookmarkEnd w:id="1"/>
    </w:p>
    <w:p w14:paraId="5BAD074D" w14:textId="77777777" w:rsidR="00581A01" w:rsidRDefault="00581A01">
      <w:pPr>
        <w:widowControl/>
        <w:rPr>
          <w:sz w:val="20"/>
          <w:szCs w:val="20"/>
          <w:lang w:val="pt-BR"/>
        </w:rPr>
      </w:pPr>
    </w:p>
    <w:sectPr w:rsidR="00581A01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38D27" w14:textId="77777777" w:rsidR="00EF670A" w:rsidRDefault="00EF670A">
      <w:r>
        <w:separator/>
      </w:r>
    </w:p>
  </w:endnote>
  <w:endnote w:type="continuationSeparator" w:id="0">
    <w:p w14:paraId="060D9753" w14:textId="77777777" w:rsidR="00EF670A" w:rsidRDefault="00EF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F28FE" w14:textId="77777777" w:rsidR="00EF670A" w:rsidRDefault="00EF670A">
      <w:r>
        <w:separator/>
      </w:r>
    </w:p>
  </w:footnote>
  <w:footnote w:type="continuationSeparator" w:id="0">
    <w:p w14:paraId="569C34DA" w14:textId="77777777" w:rsidR="00EF670A" w:rsidRDefault="00EF6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4"/>
  </w:num>
  <w:num w:numId="3">
    <w:abstractNumId w:val="18"/>
  </w:num>
  <w:num w:numId="4">
    <w:abstractNumId w:val="27"/>
  </w:num>
  <w:num w:numId="5">
    <w:abstractNumId w:val="6"/>
  </w:num>
  <w:num w:numId="6">
    <w:abstractNumId w:val="23"/>
  </w:num>
  <w:num w:numId="7">
    <w:abstractNumId w:val="1"/>
  </w:num>
  <w:num w:numId="8">
    <w:abstractNumId w:val="26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29"/>
  </w:num>
  <w:num w:numId="20">
    <w:abstractNumId w:val="7"/>
  </w:num>
  <w:num w:numId="21">
    <w:abstractNumId w:val="22"/>
  </w:num>
  <w:num w:numId="22">
    <w:abstractNumId w:val="19"/>
  </w:num>
  <w:num w:numId="23">
    <w:abstractNumId w:val="20"/>
  </w:num>
  <w:num w:numId="24">
    <w:abstractNumId w:val="9"/>
  </w:num>
  <w:num w:numId="25">
    <w:abstractNumId w:val="31"/>
  </w:num>
  <w:num w:numId="26">
    <w:abstractNumId w:val="30"/>
  </w:num>
  <w:num w:numId="27">
    <w:abstractNumId w:val="11"/>
  </w:num>
  <w:num w:numId="28">
    <w:abstractNumId w:val="28"/>
  </w:num>
  <w:num w:numId="29">
    <w:abstractNumId w:val="0"/>
  </w:num>
  <w:num w:numId="30">
    <w:abstractNumId w:val="8"/>
  </w:num>
  <w:num w:numId="31">
    <w:abstractNumId w:val="35"/>
  </w:num>
  <w:num w:numId="32">
    <w:abstractNumId w:val="15"/>
  </w:num>
  <w:num w:numId="33">
    <w:abstractNumId w:val="33"/>
  </w:num>
  <w:num w:numId="34">
    <w:abstractNumId w:val="32"/>
  </w:num>
  <w:num w:numId="35">
    <w:abstractNumId w:val="1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C01D8"/>
    <w:rsid w:val="001E1C07"/>
    <w:rsid w:val="001F4D90"/>
    <w:rsid w:val="00207B52"/>
    <w:rsid w:val="00212507"/>
    <w:rsid w:val="00216FDA"/>
    <w:rsid w:val="002429D1"/>
    <w:rsid w:val="002711C4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818"/>
    <w:rsid w:val="004D1FF1"/>
    <w:rsid w:val="005202A3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44ECE"/>
    <w:rsid w:val="00761C87"/>
    <w:rsid w:val="007958C6"/>
    <w:rsid w:val="007C5270"/>
    <w:rsid w:val="007F1BD0"/>
    <w:rsid w:val="00845619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B3A08"/>
    <w:rsid w:val="009C1FAC"/>
    <w:rsid w:val="009C2FC9"/>
    <w:rsid w:val="009D124E"/>
    <w:rsid w:val="00A07397"/>
    <w:rsid w:val="00A45896"/>
    <w:rsid w:val="00A51740"/>
    <w:rsid w:val="00A760FF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C1861"/>
    <w:rsid w:val="00ED28C8"/>
    <w:rsid w:val="00EE57BA"/>
    <w:rsid w:val="00EF670A"/>
    <w:rsid w:val="00F00BA5"/>
    <w:rsid w:val="00F03D50"/>
    <w:rsid w:val="00F11990"/>
    <w:rsid w:val="00F11E8A"/>
    <w:rsid w:val="00F17FA6"/>
    <w:rsid w:val="00F202BC"/>
    <w:rsid w:val="00F35473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31BD-8E48-4D49-A43E-DB1F4B50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1017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17</cp:revision>
  <cp:lastPrinted>2021-04-01T20:08:00Z</cp:lastPrinted>
  <dcterms:created xsi:type="dcterms:W3CDTF">2021-04-01T19:06:00Z</dcterms:created>
  <dcterms:modified xsi:type="dcterms:W3CDTF">2022-07-07T12:54:00Z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