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1021"/>
        <w:gridCol w:w="2552"/>
        <w:gridCol w:w="844"/>
        <w:gridCol w:w="3396"/>
      </w:tblGrid>
      <w:tr w:rsidR="002A57A5" w:rsidRPr="009A11F8" w14:paraId="79A28747" w14:textId="77777777">
        <w:trPr>
          <w:trHeight w:val="692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100A33DE" w14:textId="7120BFED" w:rsidR="002A57A5" w:rsidRPr="00C37452" w:rsidRDefault="007958C6">
            <w:pPr>
              <w:suppressLineNumbers/>
              <w:jc w:val="center"/>
              <w:rPr>
                <w:rFonts w:ascii="Cambria" w:hAnsi="Cambria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lang w:val="pt-BR"/>
              </w:rPr>
              <w:t>SÚMULA DA 17</w:t>
            </w:r>
            <w:r w:rsidR="0011385A">
              <w:rPr>
                <w:rFonts w:ascii="Cambria" w:eastAsia="Calibri" w:hAnsi="Cambria" w:cs="Times New Roman"/>
                <w:b/>
                <w:lang w:val="pt-BR"/>
              </w:rPr>
              <w:t>9</w:t>
            </w:r>
            <w:r w:rsidRPr="00C37452">
              <w:rPr>
                <w:rFonts w:ascii="Cambria" w:eastAsia="Calibri" w:hAnsi="Cambria" w:cs="Times New Roman"/>
                <w:b/>
                <w:lang w:val="pt-BR"/>
              </w:rPr>
              <w:t>ª REUNIÃO (ORDINÁRIA) DA</w:t>
            </w:r>
          </w:p>
          <w:p w14:paraId="72747B13" w14:textId="77777777" w:rsidR="002A57A5" w:rsidRPr="00C37452" w:rsidRDefault="007958C6">
            <w:pPr>
              <w:suppressLineNumbers/>
              <w:jc w:val="center"/>
              <w:rPr>
                <w:rFonts w:ascii="Cambria" w:hAnsi="Cambria" w:cs="Times New Roman"/>
                <w:sz w:val="26"/>
                <w:szCs w:val="26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6"/>
                <w:szCs w:val="26"/>
                <w:lang w:val="pt-BR"/>
              </w:rPr>
              <w:t>COMISSÃO DE EXERCÍCIO PROFISSIONAL – CEP-CAU/MG</w:t>
            </w:r>
          </w:p>
        </w:tc>
      </w:tr>
      <w:tr w:rsidR="002A57A5" w:rsidRPr="009A11F8" w14:paraId="2B0BCC5A" w14:textId="77777777">
        <w:trPr>
          <w:trHeight w:val="70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11085272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7EAB69D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:rsidRPr="00C37452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155DE880" w14:textId="02D5D99D" w:rsidR="002A57A5" w:rsidRPr="00C37452" w:rsidRDefault="00627A20" w:rsidP="0011385A">
            <w:pPr>
              <w:suppressLineNumbers/>
              <w:jc w:val="both"/>
              <w:rPr>
                <w:rFonts w:ascii="Cambria" w:hAnsi="Cambria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2</w:t>
            </w:r>
            <w:r w:rsidR="0011385A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6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</w:t>
            </w:r>
            <w:r w:rsidR="00455F5C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</w:t>
            </w:r>
            <w:r w:rsidR="00455F5C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</w:t>
            </w:r>
            <w:r w:rsidR="00455F5C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de 202</w:t>
            </w:r>
            <w:r w:rsidR="000B24B8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</w:t>
            </w:r>
          </w:p>
        </w:tc>
      </w:tr>
      <w:tr w:rsidR="002A57A5" w:rsidRPr="009A11F8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4CA82472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[</w:t>
            </w:r>
            <w:proofErr w:type="gramStart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reunião</w:t>
            </w:r>
            <w:proofErr w:type="gramEnd"/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realizada em ambiente virtual, através de videoconferência]</w:t>
            </w:r>
          </w:p>
        </w:tc>
      </w:tr>
      <w:tr w:rsidR="002A57A5" w:rsidRPr="00C37452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7E004C44" w14:textId="4C01BA8D" w:rsidR="002A57A5" w:rsidRPr="00C37452" w:rsidRDefault="00043280" w:rsidP="00043280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13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h</w:t>
            </w: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</w:t>
            </w:r>
            <w:r w:rsidR="007958C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0min – 17h00min</w:t>
            </w:r>
          </w:p>
        </w:tc>
      </w:tr>
      <w:tr w:rsidR="002A57A5" w:rsidRPr="00C37452" w14:paraId="1EA07FBA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2DBC60" w14:textId="77777777" w:rsidR="002A57A5" w:rsidRPr="00C37452" w:rsidRDefault="002A57A5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2A57A5" w:rsidRPr="00C37452" w14:paraId="49565CAD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0E50B5AD" w14:textId="77777777" w:rsidR="002A57A5" w:rsidRPr="00C37452" w:rsidRDefault="007958C6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0B24B8" w:rsidRPr="00C37452" w14:paraId="41EDFF95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376098D2" w14:textId="1DE731A3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FD38DA7" w14:textId="416D2768" w:rsidR="000B24B8" w:rsidRPr="00C37452" w:rsidRDefault="000B24B8" w:rsidP="000B24B8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</w:t>
            </w:r>
            <w:r w:rsidR="00692726"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da Comissão</w:t>
            </w:r>
          </w:p>
        </w:tc>
      </w:tr>
      <w:tr w:rsidR="00074F63" w:rsidRPr="00C37452" w14:paraId="6BD75A28" w14:textId="77777777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074F63" w:rsidRPr="00C37452" w:rsidRDefault="00074F63" w:rsidP="00BB7825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696E6FC6" w14:textId="23FA9855" w:rsidR="00074F63" w:rsidRPr="00C37452" w:rsidRDefault="0011385A" w:rsidP="00BB7825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Ademir Nogueira de Ávila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4CC2E4FB" w14:textId="45EAA3BC" w:rsidR="00074F63" w:rsidRPr="00C37452" w:rsidRDefault="0011385A" w:rsidP="00F8363E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1385A" w:rsidRPr="00C37452" w14:paraId="78F1E921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3FAA9CBA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0F4B7081" w14:textId="34D4DB5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Felipe Colmanetti Moura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C27ABAD" w14:textId="64EF5705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1385A" w:rsidRPr="00C37452" w14:paraId="6A528A5F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16C75A6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48EA4E07" w14:textId="4CEA406B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Rafael Decina Arantes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FC02B86" w14:textId="51B62E66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11385A" w:rsidRPr="00C37452" w14:paraId="10C51EDA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0E06023B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7904643" w14:textId="0689C492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11385A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Emmanuelle de Assis Silveira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14E42DFE" w14:textId="3403641E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Membro </w:t>
            </w:r>
            <w:r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Suplente</w:t>
            </w:r>
          </w:p>
        </w:tc>
      </w:tr>
      <w:tr w:rsidR="0011385A" w:rsidRPr="00C37452" w14:paraId="72C747CB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5EB6A74A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203CB340" w14:textId="213036F1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Samira de Almeida Houri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53B57145" w14:textId="1E89B705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Gerente de Fiscalização</w:t>
            </w:r>
          </w:p>
        </w:tc>
      </w:tr>
      <w:tr w:rsidR="0011385A" w:rsidRPr="00C37452" w14:paraId="30B1400E" w14:textId="77777777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2A6FAEB7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</w:p>
        </w:tc>
        <w:tc>
          <w:tcPr>
            <w:tcW w:w="3573" w:type="dxa"/>
            <w:gridSpan w:val="2"/>
            <w:shd w:val="clear" w:color="auto" w:fill="auto"/>
            <w:vAlign w:val="center"/>
          </w:tcPr>
          <w:p w14:paraId="198E7D25" w14:textId="3DED59E4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Luana Pascoal Goncalves Rodrigues</w:t>
            </w:r>
          </w:p>
        </w:tc>
        <w:tc>
          <w:tcPr>
            <w:tcW w:w="4240" w:type="dxa"/>
            <w:gridSpan w:val="2"/>
            <w:shd w:val="clear" w:color="auto" w:fill="auto"/>
            <w:vAlign w:val="center"/>
          </w:tcPr>
          <w:p w14:paraId="0A63C60B" w14:textId="58942B33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Coordenadora de Fiscalização</w:t>
            </w:r>
          </w:p>
        </w:tc>
      </w:tr>
      <w:tr w:rsidR="0011385A" w:rsidRPr="009A11F8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4"/>
            <w:shd w:val="clear" w:color="auto" w:fill="auto"/>
            <w:vAlign w:val="center"/>
          </w:tcPr>
          <w:p w14:paraId="3D401A1B" w14:textId="59E3FBFE" w:rsidR="0011385A" w:rsidRPr="00C37452" w:rsidRDefault="0011385A" w:rsidP="0011385A">
            <w:pPr>
              <w:suppressLineNumbers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11385A" w:rsidRPr="009A11F8" w14:paraId="1878D180" w14:textId="77777777">
        <w:trPr>
          <w:trHeight w:val="85"/>
          <w:jc w:val="center"/>
        </w:trPr>
        <w:tc>
          <w:tcPr>
            <w:tcW w:w="10188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690886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sz w:val="10"/>
                <w:szCs w:val="10"/>
                <w:lang w:val="pt-BR"/>
              </w:rPr>
            </w:pPr>
          </w:p>
        </w:tc>
      </w:tr>
      <w:tr w:rsidR="0011385A" w:rsidRPr="00C37452" w14:paraId="0CE275A1" w14:textId="77777777">
        <w:trPr>
          <w:trHeight w:val="330"/>
          <w:jc w:val="center"/>
        </w:trPr>
        <w:tc>
          <w:tcPr>
            <w:tcW w:w="10188" w:type="dxa"/>
            <w:gridSpan w:val="5"/>
            <w:shd w:val="clear" w:color="auto" w:fill="D9D9D9" w:themeFill="background1" w:themeFillShade="D9"/>
            <w:vAlign w:val="center"/>
          </w:tcPr>
          <w:p w14:paraId="6E09E6A7" w14:textId="77777777" w:rsidR="0011385A" w:rsidRPr="00C37452" w:rsidRDefault="0011385A" w:rsidP="0011385A">
            <w:pPr>
              <w:suppressLineNumbers/>
              <w:jc w:val="both"/>
              <w:rPr>
                <w:rFonts w:ascii="Cambria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11385A" w:rsidRPr="009A11F8" w14:paraId="7D2F614A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756C3" w14:textId="77777777" w:rsidR="0011385A" w:rsidRPr="00AD725D" w:rsidRDefault="0011385A" w:rsidP="0011385A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AD725D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11385A" w:rsidRPr="00AD725D" w:rsidRDefault="0011385A" w:rsidP="0011385A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3FF38B2F" w14:textId="249F2879" w:rsidR="0011385A" w:rsidRPr="00AD725D" w:rsidRDefault="0011385A" w:rsidP="00E56176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Foi verificado o quórum às </w:t>
            </w:r>
            <w:r w:rsid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09h34</w:t>
            </w:r>
            <w:r w:rsidRPr="00AD725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min</w:t>
            </w:r>
            <w:r w:rsidRPr="00AD725D">
              <w:rPr>
                <w:rFonts w:ascii="Cambria" w:eastAsia="Calibri" w:hAnsi="Cambria" w:cs="Times New Roman"/>
                <w:color w:val="000000"/>
                <w:sz w:val="20"/>
                <w:szCs w:val="20"/>
                <w:lang w:val="pt-BR"/>
              </w:rPr>
              <w:t>.</w:t>
            </w:r>
          </w:p>
        </w:tc>
      </w:tr>
      <w:tr w:rsidR="0011385A" w:rsidRPr="009A11F8" w14:paraId="0D26ED80" w14:textId="77777777" w:rsidTr="00C37452">
        <w:trPr>
          <w:trHeight w:val="945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2B080C" w14:textId="77777777" w:rsidR="0011385A" w:rsidRPr="00C37452" w:rsidRDefault="0011385A" w:rsidP="0011385A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/>
                <w:b/>
                <w:sz w:val="20"/>
                <w:szCs w:val="20"/>
                <w:lang w:val="pt-BR"/>
              </w:rPr>
              <w:t>Ordem do Dia:</w:t>
            </w:r>
          </w:p>
          <w:p w14:paraId="41E08B20" w14:textId="77777777" w:rsidR="0011385A" w:rsidRPr="00C37452" w:rsidRDefault="0011385A" w:rsidP="0011385A">
            <w:pPr>
              <w:spacing w:line="25" w:lineRule="atLeast"/>
              <w:jc w:val="both"/>
              <w:rPr>
                <w:rFonts w:ascii="Cambria" w:eastAsia="Calibri" w:hAnsi="Cambria"/>
                <w:b/>
                <w:sz w:val="20"/>
                <w:szCs w:val="20"/>
                <w:lang w:val="pt-BR"/>
              </w:rPr>
            </w:pPr>
          </w:p>
          <w:p w14:paraId="5E463180" w14:textId="77777777" w:rsidR="0011385A" w:rsidRPr="00C37452" w:rsidRDefault="0011385A" w:rsidP="001138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Apreciação e aprovação de Relatórios de Processos de Fiscalização.</w:t>
            </w:r>
          </w:p>
          <w:p w14:paraId="45E5E466" w14:textId="77777777" w:rsidR="0011385A" w:rsidRPr="00C37452" w:rsidRDefault="0011385A" w:rsidP="0011385A">
            <w:pPr>
              <w:spacing w:line="276" w:lineRule="auto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4FB27B09" w14:textId="0C6F4C17" w:rsidR="0011385A" w:rsidRPr="00C37452" w:rsidRDefault="0011385A" w:rsidP="0011385A">
            <w:pPr>
              <w:numPr>
                <w:ilvl w:val="0"/>
                <w:numId w:val="6"/>
              </w:numPr>
              <w:suppressAutoHyphens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lang w:val="pt-BR"/>
              </w:rPr>
            </w:pPr>
            <w:r w:rsidRPr="00C37452">
              <w:rPr>
                <w:rFonts w:ascii="Cambria" w:hAnsi="Cambria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11385A" w:rsidRPr="00C37452" w14:paraId="6B931A4F" w14:textId="77777777" w:rsidTr="00C37452">
        <w:trPr>
          <w:trHeight w:val="705"/>
          <w:jc w:val="center"/>
        </w:trPr>
        <w:tc>
          <w:tcPr>
            <w:tcW w:w="33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4A0412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1000004211</w:t>
            </w:r>
          </w:p>
          <w:p w14:paraId="768AEDB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1000005929</w:t>
            </w:r>
          </w:p>
          <w:p w14:paraId="4ACE9B1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1000006039</w:t>
            </w:r>
          </w:p>
          <w:p w14:paraId="7321775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1000006334</w:t>
            </w:r>
          </w:p>
          <w:p w14:paraId="65EBE2E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1000009880</w:t>
            </w:r>
          </w:p>
          <w:p w14:paraId="256B93E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1000016984</w:t>
            </w:r>
          </w:p>
          <w:p w14:paraId="2B15C74E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1000017177</w:t>
            </w:r>
          </w:p>
          <w:p w14:paraId="7D8BD2A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1000021595</w:t>
            </w:r>
          </w:p>
          <w:p w14:paraId="781C356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1000027522</w:t>
            </w:r>
          </w:p>
          <w:p w14:paraId="6D3A15EC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1000042048</w:t>
            </w:r>
          </w:p>
          <w:p w14:paraId="6867E6A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1000060228</w:t>
            </w:r>
          </w:p>
          <w:p w14:paraId="7508B8D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1000061010</w:t>
            </w:r>
          </w:p>
          <w:p w14:paraId="6AA7C29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1000061896</w:t>
            </w:r>
          </w:p>
          <w:p w14:paraId="40E19EA2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1000066541</w:t>
            </w:r>
          </w:p>
          <w:p w14:paraId="2A8F7D0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1000068290</w:t>
            </w:r>
          </w:p>
          <w:p w14:paraId="5DBC36A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1000073448</w:t>
            </w:r>
          </w:p>
          <w:p w14:paraId="18899EF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1000075628</w:t>
            </w:r>
          </w:p>
          <w:p w14:paraId="72A3BAE6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1000082488</w:t>
            </w:r>
          </w:p>
          <w:p w14:paraId="0E45F59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1000083396</w:t>
            </w:r>
          </w:p>
          <w:p w14:paraId="2CEBEC1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1000084454</w:t>
            </w:r>
          </w:p>
          <w:p w14:paraId="71CCEB5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1000086689</w:t>
            </w:r>
          </w:p>
          <w:p w14:paraId="5D6D89A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1000086697</w:t>
            </w:r>
          </w:p>
          <w:p w14:paraId="4E45A64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1000087182</w:t>
            </w:r>
          </w:p>
          <w:p w14:paraId="6109B66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1000087489</w:t>
            </w:r>
          </w:p>
          <w:p w14:paraId="4CA6A25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1000091025</w:t>
            </w:r>
          </w:p>
          <w:p w14:paraId="2FAEF48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1000091199</w:t>
            </w:r>
          </w:p>
          <w:p w14:paraId="65E7510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1000098353</w:t>
            </w:r>
          </w:p>
          <w:p w14:paraId="685A07A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1000102557</w:t>
            </w:r>
          </w:p>
          <w:p w14:paraId="60E443F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1000105177</w:t>
            </w:r>
          </w:p>
          <w:p w14:paraId="00B10CBD" w14:textId="700829AC" w:rsidR="0011385A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1000105198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9806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1000105528</w:t>
            </w:r>
          </w:p>
          <w:p w14:paraId="4DA0B7C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1000106775</w:t>
            </w:r>
          </w:p>
          <w:p w14:paraId="29B63F0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1000106776</w:t>
            </w:r>
          </w:p>
          <w:p w14:paraId="4F9BE5A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1000106870</w:t>
            </w:r>
          </w:p>
          <w:p w14:paraId="2AC6EF4C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1000107134</w:t>
            </w:r>
          </w:p>
          <w:p w14:paraId="2CD6FB1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1000107522</w:t>
            </w:r>
          </w:p>
          <w:p w14:paraId="4E6BA24E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1000107820</w:t>
            </w:r>
          </w:p>
          <w:p w14:paraId="123E7B5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1000108063</w:t>
            </w:r>
          </w:p>
          <w:p w14:paraId="020E1C1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1000108077</w:t>
            </w:r>
          </w:p>
          <w:p w14:paraId="72573D6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1000109131</w:t>
            </w:r>
          </w:p>
          <w:p w14:paraId="17DC272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1000109154</w:t>
            </w:r>
          </w:p>
          <w:p w14:paraId="73D63E7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1000109266</w:t>
            </w:r>
          </w:p>
          <w:p w14:paraId="7D26F90C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1000109533</w:t>
            </w:r>
          </w:p>
          <w:p w14:paraId="5B2D4CF3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1000109605</w:t>
            </w:r>
          </w:p>
          <w:p w14:paraId="73EDEF66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1000109752</w:t>
            </w:r>
          </w:p>
          <w:p w14:paraId="0A06163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1000109771</w:t>
            </w:r>
          </w:p>
          <w:p w14:paraId="268E0C4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1000109812</w:t>
            </w:r>
          </w:p>
          <w:p w14:paraId="3279B54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1000109815</w:t>
            </w:r>
          </w:p>
          <w:p w14:paraId="022CCC4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1000110159</w:t>
            </w:r>
          </w:p>
          <w:p w14:paraId="0BA46A1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1000112941</w:t>
            </w:r>
          </w:p>
          <w:p w14:paraId="3D87196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1000113120</w:t>
            </w:r>
          </w:p>
          <w:p w14:paraId="02E73AFE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1000114026</w:t>
            </w:r>
          </w:p>
          <w:p w14:paraId="7BCEC2A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1000114188</w:t>
            </w:r>
          </w:p>
          <w:p w14:paraId="460DF96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1000114307</w:t>
            </w:r>
          </w:p>
          <w:p w14:paraId="2125BD83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1000114309</w:t>
            </w:r>
          </w:p>
          <w:p w14:paraId="3FE3FCF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1000114352</w:t>
            </w:r>
          </w:p>
          <w:p w14:paraId="286B85C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1000114414</w:t>
            </w:r>
          </w:p>
          <w:p w14:paraId="3FF860D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1000114430</w:t>
            </w:r>
          </w:p>
          <w:p w14:paraId="36A8C6E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1000114504</w:t>
            </w:r>
          </w:p>
          <w:p w14:paraId="23425D0B" w14:textId="2AEA28BF" w:rsidR="0011385A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1000114516</w:t>
            </w: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29FFC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1000114518</w:t>
            </w:r>
          </w:p>
          <w:p w14:paraId="11F866D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1000114530</w:t>
            </w:r>
          </w:p>
          <w:p w14:paraId="018CE28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1000114546</w:t>
            </w:r>
          </w:p>
          <w:p w14:paraId="14DBFC6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1000114549</w:t>
            </w:r>
          </w:p>
          <w:p w14:paraId="566F230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1000114550</w:t>
            </w:r>
          </w:p>
          <w:p w14:paraId="009FDBE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1000114568</w:t>
            </w:r>
          </w:p>
          <w:p w14:paraId="0FC44E5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1000114571</w:t>
            </w:r>
          </w:p>
          <w:p w14:paraId="78FD36A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1000114646</w:t>
            </w:r>
          </w:p>
          <w:p w14:paraId="2526264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1000114724</w:t>
            </w:r>
          </w:p>
          <w:p w14:paraId="43975B3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1000114791</w:t>
            </w:r>
          </w:p>
          <w:p w14:paraId="20933CA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1000114895</w:t>
            </w:r>
          </w:p>
          <w:p w14:paraId="4B89925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1000114920</w:t>
            </w:r>
          </w:p>
          <w:p w14:paraId="77BF6FF0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1000114964</w:t>
            </w:r>
          </w:p>
          <w:p w14:paraId="063638B6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1000115092</w:t>
            </w:r>
          </w:p>
          <w:p w14:paraId="692A4E9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1000115223</w:t>
            </w:r>
          </w:p>
          <w:p w14:paraId="17160B11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1000115264</w:t>
            </w:r>
          </w:p>
          <w:p w14:paraId="43B34997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1000115272</w:t>
            </w:r>
          </w:p>
          <w:p w14:paraId="501B0B7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1000115544</w:t>
            </w:r>
          </w:p>
          <w:p w14:paraId="38936D0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1000115620</w:t>
            </w:r>
          </w:p>
          <w:p w14:paraId="0ACAAA78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1000115714</w:t>
            </w:r>
          </w:p>
          <w:p w14:paraId="1BFA79EA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1000115725</w:t>
            </w:r>
          </w:p>
          <w:p w14:paraId="7323C1F3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1000115955</w:t>
            </w:r>
          </w:p>
          <w:p w14:paraId="3DD46D1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1000116010</w:t>
            </w:r>
          </w:p>
          <w:p w14:paraId="196A78F5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lastRenderedPageBreak/>
              <w:t>1000116398</w:t>
            </w:r>
          </w:p>
          <w:p w14:paraId="24AF01CF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1000116408</w:t>
            </w:r>
          </w:p>
          <w:p w14:paraId="68E51B84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1000116412</w:t>
            </w:r>
          </w:p>
          <w:p w14:paraId="385D956F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1000116421</w:t>
            </w:r>
          </w:p>
          <w:p w14:paraId="793A8E2D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1000118703</w:t>
            </w:r>
          </w:p>
          <w:p w14:paraId="566D3FCB" w14:textId="77777777" w:rsidR="00E56176" w:rsidRPr="00E56176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1000119080</w:t>
            </w:r>
          </w:p>
          <w:p w14:paraId="314628AC" w14:textId="38353ADE" w:rsidR="00E56176" w:rsidRPr="00C37452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="Cambria" w:hAnsi="Cambria"/>
                <w:sz w:val="20"/>
                <w:szCs w:val="20"/>
                <w:lang w:val="pt-BR"/>
              </w:rPr>
            </w:pPr>
            <w:r w:rsidRPr="00E56176">
              <w:rPr>
                <w:rFonts w:ascii="Cambria" w:hAnsi="Cambria"/>
                <w:sz w:val="20"/>
                <w:szCs w:val="20"/>
                <w:lang w:val="pt-BR"/>
              </w:rPr>
              <w:t>1000610937</w:t>
            </w:r>
          </w:p>
        </w:tc>
      </w:tr>
      <w:tr w:rsidR="0011385A" w:rsidRPr="00C37452" w14:paraId="2C53EF2C" w14:textId="77777777" w:rsidTr="00627A20">
        <w:trPr>
          <w:trHeight w:val="705"/>
          <w:jc w:val="center"/>
        </w:trPr>
        <w:tc>
          <w:tcPr>
            <w:tcW w:w="101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DF4" w14:textId="17F45587" w:rsidR="0011385A" w:rsidRPr="00C37452" w:rsidRDefault="0011385A" w:rsidP="0011385A">
            <w:pPr>
              <w:suppressAutoHyphens w:val="0"/>
              <w:spacing w:line="276" w:lineRule="auto"/>
              <w:jc w:val="both"/>
              <w:rPr>
                <w:rFonts w:ascii="Cambria" w:hAnsi="Cambria"/>
                <w:sz w:val="10"/>
                <w:szCs w:val="10"/>
                <w:lang w:val="pt-BR"/>
              </w:rPr>
            </w:pPr>
          </w:p>
          <w:p w14:paraId="5D3BD19F" w14:textId="77777777" w:rsidR="00E56176" w:rsidRPr="0001590D" w:rsidRDefault="00E56176" w:rsidP="00E56176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Fiscalização:</w:t>
            </w:r>
          </w:p>
          <w:p w14:paraId="5AE5AFCE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Plano de Ação: Acompanhamento e definição de responsável das ações;</w:t>
            </w:r>
          </w:p>
          <w:p w14:paraId="38965305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Denúncia 1316695/2021: Arquiteto e Urbanista atuando com registro interrompido;</w:t>
            </w:r>
          </w:p>
          <w:p w14:paraId="79FBB0D8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Indício de Infração Ético-disciplinar: Relatório de Fiscalização 1000094433/2019.</w:t>
            </w:r>
          </w:p>
          <w:p w14:paraId="47BC39FE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Auto de Infração 1000106468: RRT extemporâneo emitido no âmbito de processo de fiscalização.</w:t>
            </w:r>
          </w:p>
          <w:p w14:paraId="1B0991ED" w14:textId="77777777" w:rsidR="00E56176" w:rsidRPr="0001590D" w:rsidRDefault="00E56176" w:rsidP="00E5617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593003F8" w14:textId="77777777" w:rsidR="00E56176" w:rsidRPr="0001590D" w:rsidRDefault="00E56176" w:rsidP="00E56176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Assuntos relacionados à Análises Técnicas:</w:t>
            </w:r>
          </w:p>
          <w:p w14:paraId="221516E4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Análise de RRTs para emissão de CAT-A:</w:t>
            </w:r>
          </w:p>
          <w:p w14:paraId="1E1BDB7B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1303498/2021; RRTs referente ao projeto de 15 residências.</w:t>
            </w:r>
          </w:p>
          <w:p w14:paraId="2DBFCF6F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1303499/2021: RRTs referente ao projeto de 15 residências.</w:t>
            </w:r>
          </w:p>
          <w:p w14:paraId="32858F52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1303927/2021: RRT de projetos em cidades ou estados diferentes;</w:t>
            </w:r>
          </w:p>
          <w:p w14:paraId="48D806E5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1303929/2021: RRT de projetos em cidades ou estados diferentes.</w:t>
            </w:r>
          </w:p>
          <w:p w14:paraId="228D4B52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1303937/2021: “Elaboração de estudos e projetos conceituais de manejo e disposição em pilha dos rejeitos depositados”;</w:t>
            </w:r>
          </w:p>
          <w:p w14:paraId="218F513F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1303221Recurso ao Indeferimento de CAT-A;</w:t>
            </w:r>
          </w:p>
          <w:p w14:paraId="122CAA2B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1349081: Aceite de documentos para emissão de RRTs extemporâneos;</w:t>
            </w:r>
          </w:p>
          <w:p w14:paraId="5688E3A6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Protocolo 1340555: Verificação de interrupção de registro retroativa.</w:t>
            </w:r>
          </w:p>
          <w:p w14:paraId="5C9241B4" w14:textId="77777777" w:rsidR="00E56176" w:rsidRPr="0001590D" w:rsidRDefault="00E56176" w:rsidP="00E56176">
            <w:pPr>
              <w:pStyle w:val="PargrafodaLista"/>
              <w:spacing w:line="276" w:lineRule="auto"/>
              <w:ind w:left="792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1EF6D88" w14:textId="77777777" w:rsidR="00E56176" w:rsidRPr="0001590D" w:rsidRDefault="00E56176" w:rsidP="00E56176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Solicitação de Manifestação:</w:t>
            </w:r>
          </w:p>
          <w:p w14:paraId="0949DDC4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Da Presidência, oriundo do CAU/BR: Orientação sobre atividades técnicas.</w:t>
            </w:r>
          </w:p>
          <w:p w14:paraId="71CD5648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Da Coordenação de Atendimento: Obrigatoriedade de registro em dois conselhos profissionais.</w:t>
            </w:r>
          </w:p>
          <w:p w14:paraId="6D73FD31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Da Coordenação de Atendimento: Registro de pessoas jurídica na modalidade Microempreendedor Individual (MEI);</w:t>
            </w:r>
          </w:p>
          <w:p w14:paraId="15C53684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Do Conselho Diretor: Conteúdos para a elaboração de publicação conjunta sobre a importância da profissão para a gestão pública e para a sociedade;</w:t>
            </w:r>
          </w:p>
          <w:p w14:paraId="49C92737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Da Gerência de Planejamento: Elaboração do Relatório Semestral e da Reprogramação Orçamentária.</w:t>
            </w:r>
          </w:p>
          <w:p w14:paraId="44F24AD6" w14:textId="77777777" w:rsidR="00E56176" w:rsidRPr="0001590D" w:rsidRDefault="00E56176" w:rsidP="00E56176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E2DD620" w14:textId="77777777" w:rsidR="00E56176" w:rsidRPr="0001590D" w:rsidRDefault="00E56176" w:rsidP="00E56176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5F7C500E" w14:textId="77777777" w:rsidR="00E56176" w:rsidRPr="0001590D" w:rsidRDefault="00E56176" w:rsidP="00E56176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Da Gerência Geral, oriundo do CAU/BR: Especificar quais dados a fiscalização gostaria de acessar através do IBGE que não acessam pelo IGEO, quais as ferramentas do IBGE que podem nos ser úteis.</w:t>
            </w:r>
          </w:p>
          <w:p w14:paraId="59DBB857" w14:textId="4EBF7BA9" w:rsidR="00E56176" w:rsidRPr="0001590D" w:rsidRDefault="00E56176" w:rsidP="0001590D">
            <w:pPr>
              <w:pStyle w:val="PargrafodaLista"/>
              <w:numPr>
                <w:ilvl w:val="1"/>
                <w:numId w:val="6"/>
              </w:numPr>
              <w:suppressAutoHyphens w:val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/>
                <w:sz w:val="20"/>
                <w:szCs w:val="20"/>
                <w:lang w:val="pt-BR"/>
              </w:rPr>
              <w:t>Prorrogação de Registros Provisórios. Pendências com o diploma por dívida com a instituição de ensino.</w:t>
            </w:r>
          </w:p>
          <w:p w14:paraId="55B2181D" w14:textId="67A919EB" w:rsidR="0011385A" w:rsidRPr="00C37452" w:rsidRDefault="0011385A" w:rsidP="0011385A">
            <w:pPr>
              <w:suppressAutoHyphens w:val="0"/>
              <w:spacing w:line="276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</w:tc>
      </w:tr>
      <w:tr w:rsidR="0011385A" w:rsidRPr="009A11F8" w14:paraId="0EE7FDD5" w14:textId="77777777" w:rsidTr="0001590D">
        <w:trPr>
          <w:trHeight w:val="1284"/>
          <w:jc w:val="center"/>
        </w:trPr>
        <w:tc>
          <w:tcPr>
            <w:tcW w:w="10188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DC075" w14:textId="77777777" w:rsidR="0011385A" w:rsidRPr="00C37452" w:rsidRDefault="0011385A" w:rsidP="0011385A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Comunicados:</w:t>
            </w:r>
          </w:p>
          <w:p w14:paraId="24AD165B" w14:textId="77777777" w:rsidR="0011385A" w:rsidRPr="00C37452" w:rsidRDefault="0011385A" w:rsidP="0011385A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711C0FA" w14:textId="77777777" w:rsidR="0001590D" w:rsidRPr="0001590D" w:rsidRDefault="0001590D" w:rsidP="0001590D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Da Gerência Técnica e de Fiscalização: Divulgação dos dados da fiscalização - </w:t>
            </w:r>
            <w:proofErr w:type="gramStart"/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Junho</w:t>
            </w:r>
            <w:proofErr w:type="gramEnd"/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/2021;</w:t>
            </w:r>
          </w:p>
          <w:p w14:paraId="0F251ADB" w14:textId="77777777" w:rsidR="0001590D" w:rsidRPr="0001590D" w:rsidRDefault="0001590D" w:rsidP="0001590D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 Gerência Técnica e de Fiscalização: Andamento da fiscalização de docentes;</w:t>
            </w:r>
          </w:p>
          <w:p w14:paraId="4EA79ABC" w14:textId="00A5FDA5" w:rsidR="0011385A" w:rsidRPr="0001590D" w:rsidRDefault="0001590D" w:rsidP="0011385A">
            <w:pPr>
              <w:pStyle w:val="PargrafodaLista"/>
              <w:numPr>
                <w:ilvl w:val="0"/>
                <w:numId w:val="18"/>
              </w:numPr>
              <w:suppressLineNumbers/>
              <w:spacing w:line="25" w:lineRule="atLeast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01590D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Da Coordenação Técnica: Protocolo 1328564/2021: Adulteração de CAT-A;</w:t>
            </w:r>
          </w:p>
        </w:tc>
      </w:tr>
      <w:tr w:rsidR="0011385A" w:rsidRPr="009A11F8" w14:paraId="38591EB0" w14:textId="77777777" w:rsidTr="0001590D">
        <w:trPr>
          <w:trHeight w:val="722"/>
          <w:jc w:val="center"/>
        </w:trPr>
        <w:tc>
          <w:tcPr>
            <w:tcW w:w="10188" w:type="dxa"/>
            <w:gridSpan w:val="5"/>
            <w:shd w:val="clear" w:color="auto" w:fill="auto"/>
            <w:vAlign w:val="center"/>
          </w:tcPr>
          <w:p w14:paraId="66FAEB40" w14:textId="77777777" w:rsidR="0011385A" w:rsidRPr="00C37452" w:rsidRDefault="0011385A" w:rsidP="0011385A">
            <w:pPr>
              <w:suppressLineNumbers/>
              <w:spacing w:line="25" w:lineRule="atLeast"/>
              <w:jc w:val="both"/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</w:pPr>
            <w:r w:rsidRPr="00C37452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11385A" w:rsidRPr="00C37452" w:rsidRDefault="0011385A" w:rsidP="0011385A">
            <w:pPr>
              <w:suppressLineNumbers/>
              <w:spacing w:line="25" w:lineRule="atLeast"/>
              <w:jc w:val="both"/>
              <w:rPr>
                <w:rFonts w:ascii="Cambria" w:hAnsi="Cambria" w:cs="Times New Roman"/>
                <w:b/>
                <w:sz w:val="10"/>
                <w:szCs w:val="10"/>
                <w:lang w:val="pt-BR"/>
              </w:rPr>
            </w:pPr>
          </w:p>
          <w:p w14:paraId="431FDC74" w14:textId="0995A3F8" w:rsidR="0011385A" w:rsidRPr="00C37452" w:rsidRDefault="0011385A" w:rsidP="00E56176">
            <w:pPr>
              <w:suppressLineNumbers/>
              <w:spacing w:line="25" w:lineRule="atLeast"/>
              <w:jc w:val="both"/>
              <w:rPr>
                <w:rFonts w:ascii="Cambria" w:hAnsi="Cambria"/>
                <w:lang w:val="pt-BR"/>
              </w:rPr>
            </w:pP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A sessão foi encerrada às 1</w:t>
            </w:r>
            <w:r w:rsid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>7h34</w:t>
            </w:r>
            <w:r w:rsidRPr="00E56176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min.</w:t>
            </w:r>
          </w:p>
        </w:tc>
      </w:tr>
    </w:tbl>
    <w:p w14:paraId="4DFB29E4" w14:textId="5AC3DFE1" w:rsidR="0001590D" w:rsidRDefault="0001590D">
      <w:pPr>
        <w:rPr>
          <w:sz w:val="20"/>
          <w:szCs w:val="20"/>
          <w:highlight w:val="yellow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2641"/>
        <w:gridCol w:w="2642"/>
        <w:gridCol w:w="2642"/>
      </w:tblGrid>
      <w:tr w:rsidR="008724F5" w:rsidRPr="008724F5" w14:paraId="6C3E6109" w14:textId="77777777" w:rsidTr="008724F5">
        <w:trPr>
          <w:trHeight w:val="330"/>
          <w:jc w:val="center"/>
        </w:trPr>
        <w:tc>
          <w:tcPr>
            <w:tcW w:w="1018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600220" w14:textId="65F72244" w:rsidR="008724F5" w:rsidRPr="008724F5" w:rsidRDefault="008724F5" w:rsidP="008724F5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8724F5" w:rsidRPr="008724F5" w14:paraId="5A14CBF7" w14:textId="77777777" w:rsidTr="008724F5">
        <w:trPr>
          <w:trHeight w:val="8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748E9" w14:textId="00342B4A" w:rsidR="008724F5" w:rsidRPr="008724F5" w:rsidRDefault="008724F5" w:rsidP="008724F5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8724F5" w:rsidRPr="009A11F8" w14:paraId="0999D02C" w14:textId="77777777" w:rsidTr="008724F5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AC219" w14:textId="7F841EB5" w:rsidR="008724F5" w:rsidRPr="008724F5" w:rsidRDefault="00A07397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505BC" w14:textId="14BE9549" w:rsidR="008724F5" w:rsidRPr="00A07397" w:rsidRDefault="00A07397" w:rsidP="00A07397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APRECIAÇÃO E APROVAÇÃO DE RELATÓRIOS DE PROCESSOS DE FISCALIZAÇÃO</w:t>
            </w:r>
          </w:p>
        </w:tc>
      </w:tr>
      <w:tr w:rsidR="008724F5" w:rsidRPr="00C37452" w14:paraId="3654850E" w14:textId="77777777" w:rsidTr="000D5801">
        <w:trPr>
          <w:trHeight w:val="1164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BAD14F7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796EA0" w14:textId="77777777" w:rsid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01D8730" w14:textId="27A18BB5" w:rsidR="008724F5" w:rsidRPr="008724F5" w:rsidRDefault="008724F5" w:rsidP="008724F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3"/>
            <w:shd w:val="clear" w:color="auto" w:fill="auto"/>
            <w:vAlign w:val="center"/>
          </w:tcPr>
          <w:p w14:paraId="5B8DEF97" w14:textId="77777777" w:rsidR="00E37AC2" w:rsidRPr="00E37AC2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168099C1" w14:textId="2195BFC2" w:rsidR="0001590D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Foram apresentados os seguintes relatórios e votos em processos de fiscalização, havendo sido aprovados pelo pleno da Comissão:</w:t>
            </w:r>
          </w:p>
          <w:p w14:paraId="6A842E1E" w14:textId="77777777" w:rsidR="0001590D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36C4E27A" w14:textId="1BD6BCD5" w:rsidR="0001590D" w:rsidRDefault="0001590D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a)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Pelo Conselheiro Ademir Nogueira:</w:t>
            </w:r>
          </w:p>
          <w:p w14:paraId="16F90F9D" w14:textId="77777777" w:rsidR="00E37AC2" w:rsidRPr="00E37AC2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6435D95D" w14:textId="2E07BF38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000016167: Manter auto de infração de infração, e aplicar multa de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300%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valor do RRT, enviando o processo para a Comissão de ética e disciplina após o trânsito em julgado dos autos;</w:t>
            </w:r>
          </w:p>
          <w:p w14:paraId="04211039" w14:textId="347F79AD" w:rsid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1000017205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2780FCED" w14:textId="563CD2E6" w:rsid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1000017328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6A6F9E8A" w14:textId="4F929B88" w:rsid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1000017333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7AE4DD0E" w14:textId="3FEB6AC4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1000017378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39014A89" w14:textId="51C81D19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1000018277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01954BB4" w14:textId="7D88A9D1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1000018428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5785FB60" w14:textId="197D8958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1000021504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6 vezes o valor da anuidade;</w:t>
            </w:r>
          </w:p>
          <w:p w14:paraId="4A097A8D" w14:textId="33D03061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1000024738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68AF4F02" w14:textId="36F68170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1000033799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2876ED20" w14:textId="3C7A4995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1000033805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49A2B783" w14:textId="46846BD7" w:rsid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1000043061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Manter auto de infração, e aplicar multa de 7 vezes o valor da anuidade, e verificar com o a Gerência Jurídica do CAU/MG o envio para o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Ministério Público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após o trânsito em julgado dos autos;</w:t>
            </w:r>
          </w:p>
          <w:p w14:paraId="72A6D1AF" w14:textId="7D250A7A" w:rsid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1000044968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Manter auto de infração, e aplicar multa de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300%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valor do RRT, enviando o processo para a Comissão de ética e disciplina após o trânsito em julgado dos autos;</w:t>
            </w:r>
          </w:p>
          <w:p w14:paraId="75C98880" w14:textId="072187BD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1000047700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C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ancelar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auto de infração, por vício processual (não houve confirmação de c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parte administrada na etapa de Notificação Preventiva. Arquivar os autos, por prescrição da infração;</w:t>
            </w:r>
          </w:p>
          <w:p w14:paraId="02825550" w14:textId="2BF2596D" w:rsidR="0001590D" w:rsidRPr="0001590D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1000050740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Manter auto de infração, e aplicar multa de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300%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do valor do RRT, enviando o processo para a Comissão de ética e disciplina após o trânsito em julgado dos autos;</w:t>
            </w:r>
          </w:p>
          <w:p w14:paraId="431C2865" w14:textId="77777777" w:rsidR="00E37AC2" w:rsidRDefault="0001590D" w:rsidP="0001590D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1000106704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Manter auto de infração, e aplicar multa de 1,6 vezes o valor da anuidade, e verificar com o a Gerência Jurídica do CAU/MG o envio para o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Ministério Público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após o trânsito em julgado dos autos;</w:t>
            </w:r>
          </w:p>
          <w:p w14:paraId="1676B2E1" w14:textId="77777777" w:rsidR="00E37AC2" w:rsidRDefault="0001590D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1000106782</w:t>
            </w:r>
            <w:r w:rsidR="00E37AC2"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1,8 vezes o valor da anuidade, e verificar com o a Gerência Jurídica do CAU/MG o envio para o Ministério Público após o trânsito em julgado dos autos;</w:t>
            </w:r>
          </w:p>
          <w:p w14:paraId="4C3AA6F9" w14:textId="62B92612" w:rsidR="0001590D" w:rsidRPr="00E37AC2" w:rsidRDefault="0001590D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1000107133</w:t>
            </w:r>
            <w:r w:rsidR="00E37AC2"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1,8 vezes o valor da anuidade, e verificar com o a Gerência Jurídica do CAU/MG o envio para o Ministério Público após o trânsito em julgado dos autos;</w:t>
            </w:r>
          </w:p>
          <w:p w14:paraId="3E8B4DDA" w14:textId="77777777" w:rsidR="00E37AC2" w:rsidRDefault="00E37AC2" w:rsidP="00E37AC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14:paraId="01248EEE" w14:textId="3684929B" w:rsidR="0001590D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b)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Pelo Conselheiro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</w:t>
            </w:r>
            <w:r w:rsidR="0001590D"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ábio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Vieira</w:t>
            </w:r>
            <w:r w:rsidR="0001590D"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  <w:p w14:paraId="1A9CFD6D" w14:textId="77777777" w:rsidR="00E37AC2" w:rsidRPr="00E37AC2" w:rsidRDefault="00E37AC2" w:rsidP="0001590D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728BE639" w14:textId="4E3D81EC" w:rsidR="0001590D" w:rsidRPr="0001590D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1000017499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7C0C0786" w14:textId="3C603A28" w:rsidR="0001590D" w:rsidRPr="0001590D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1000017504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74899DEE" w14:textId="765F8ACB" w:rsidR="0001590D" w:rsidRPr="0001590D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1000074114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Cancelar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auto de infração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arquivar o processo;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abrir 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novos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processos 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de fiscalização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em face dos profissionais implicados nas atividades constatadas. </w:t>
            </w:r>
          </w:p>
          <w:p w14:paraId="52954E1C" w14:textId="6EAACF89" w:rsidR="00E37AC2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1000074192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2 vezes o valor da anuidade;</w:t>
            </w:r>
          </w:p>
          <w:p w14:paraId="1FA4CAEB" w14:textId="44E25785" w:rsidR="00E37AC2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1000074211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6 vezes o valor da anuidade;</w:t>
            </w:r>
          </w:p>
          <w:p w14:paraId="19950F82" w14:textId="10095FA8" w:rsidR="0001590D" w:rsidRPr="0001590D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1000084689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: Cancelar o </w:t>
            </w: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arquivar o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auto de infração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e arquivar o processo.</w:t>
            </w:r>
          </w:p>
          <w:p w14:paraId="06809EB6" w14:textId="58AD16C6" w:rsidR="0001590D" w:rsidRPr="0001590D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1000089890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7 vezes o valor da anuidade;</w:t>
            </w:r>
          </w:p>
          <w:p w14:paraId="7506714D" w14:textId="77777777" w:rsidR="005202A3" w:rsidRDefault="0001590D" w:rsidP="00E37AC2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1590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1000089894</w:t>
            </w:r>
            <w:r w:rsid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 Manter auto de infração, e aplicar multa de 9 vezes o valor da anuidade;</w:t>
            </w:r>
          </w:p>
          <w:p w14:paraId="77D80C15" w14:textId="70CC9F41" w:rsidR="00E37AC2" w:rsidRPr="00E37AC2" w:rsidRDefault="00E37AC2" w:rsidP="00E37AC2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F77DC1" w:rsidRPr="008724F5" w14:paraId="614FEB55" w14:textId="77777777" w:rsidTr="002321D1">
        <w:trPr>
          <w:trHeight w:val="80"/>
          <w:jc w:val="center"/>
        </w:trPr>
        <w:tc>
          <w:tcPr>
            <w:tcW w:w="10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9188E" w14:textId="77777777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B25015" w:rsidRPr="009A11F8" w14:paraId="05462FD3" w14:textId="77777777" w:rsidTr="00F77DC1">
        <w:trPr>
          <w:trHeight w:val="330"/>
          <w:jc w:val="center"/>
        </w:trPr>
        <w:tc>
          <w:tcPr>
            <w:tcW w:w="226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5847C" w14:textId="77777777" w:rsidR="00B25015" w:rsidRPr="008724F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5088" w14:textId="77777777" w:rsidR="00B25015" w:rsidRPr="00A07397" w:rsidRDefault="00B25015" w:rsidP="00CB03D4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37452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NOMEAÇÃO DE RELATORES PARA PROCESSOS DE FISCALIZAÇÃO:</w:t>
            </w:r>
          </w:p>
        </w:tc>
      </w:tr>
      <w:tr w:rsidR="00B25015" w:rsidRPr="009A11F8" w14:paraId="4C39F7F2" w14:textId="77777777" w:rsidTr="00F77DC1">
        <w:trPr>
          <w:trHeight w:val="782"/>
          <w:jc w:val="center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570E4" w14:textId="77777777" w:rsidR="00B2501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15E8C05C" w14:textId="77777777" w:rsidR="00B2501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1D2841B2" w14:textId="77777777" w:rsidR="00B25015" w:rsidRPr="008724F5" w:rsidRDefault="00B25015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A46816" w14:textId="03629763" w:rsidR="00B25015" w:rsidRPr="00B25015" w:rsidRDefault="00B25015" w:rsidP="00B2501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Foi nomeado o Conselheiro Ademir Nogueira para a relatoria dos seguintes Autos de Infração:</w:t>
            </w:r>
          </w:p>
        </w:tc>
      </w:tr>
      <w:tr w:rsidR="00F77DC1" w:rsidRPr="009A11F8" w14:paraId="21ADAE50" w14:textId="77777777" w:rsidTr="00F77DC1">
        <w:trPr>
          <w:trHeight w:val="70"/>
          <w:jc w:val="center"/>
        </w:trPr>
        <w:tc>
          <w:tcPr>
            <w:tcW w:w="226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E9E497" w14:textId="77777777" w:rsidR="00F77DC1" w:rsidRPr="008724F5" w:rsidRDefault="00F77DC1" w:rsidP="00CB03D4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CFB4F2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1000004211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495DA1F9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1000005929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281BA32D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1000006039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474FC765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1000006334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5AA1438F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1000009880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77A9A4EE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1000016984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68396150" w14:textId="77777777" w:rsidR="00F77DC1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1000017177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384D5935" w14:textId="77777777" w:rsidR="00F77DC1" w:rsidRPr="00F77DC1" w:rsidRDefault="00F77DC1" w:rsidP="00F77DC1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14683" w14:textId="6B47B08F" w:rsidR="00F77DC1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1000021595;</w:t>
            </w:r>
          </w:p>
          <w:p w14:paraId="177AD62D" w14:textId="77777777" w:rsidR="00F77DC1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1000027522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5E7733DE" w14:textId="77777777" w:rsidR="00F77DC1" w:rsidRPr="00E37AC2" w:rsidRDefault="00F77DC1" w:rsidP="00B25015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1000042048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09C31A61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1000060228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1CD7A114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1000061010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2F51AC31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1000061896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38D75" w14:textId="32CE4C4B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1000066541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23769846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1000068290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17BC75F2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1000073448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34058774" w14:textId="77777777" w:rsidR="00F77DC1" w:rsidRPr="00E37AC2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1000082488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53266588" w14:textId="77777777" w:rsidR="00F77DC1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37AC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1000107134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;</w:t>
            </w:r>
          </w:p>
          <w:p w14:paraId="13E70B6A" w14:textId="0311EC19" w:rsidR="00F77DC1" w:rsidRPr="00B25015" w:rsidRDefault="00F77DC1" w:rsidP="00CB03D4">
            <w:pPr>
              <w:pStyle w:val="PargrafodaLista"/>
              <w:widowControl/>
              <w:numPr>
                <w:ilvl w:val="1"/>
                <w:numId w:val="5"/>
              </w:numPr>
              <w:suppressLineNumbers/>
              <w:ind w:left="459" w:hanging="459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1000107522.</w:t>
            </w:r>
          </w:p>
        </w:tc>
      </w:tr>
    </w:tbl>
    <w:p w14:paraId="6D672C3B" w14:textId="77777777" w:rsidR="00B25015" w:rsidRDefault="00B25015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263"/>
        <w:gridCol w:w="7925"/>
      </w:tblGrid>
      <w:tr w:rsidR="00F77DC1" w:rsidRPr="00D1503A" w14:paraId="1DF5BF62" w14:textId="77777777" w:rsidTr="002321D1">
        <w:trPr>
          <w:trHeight w:val="330"/>
          <w:jc w:val="center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6878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bookmarkStart w:id="0" w:name="_Hlk62458471"/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ITEM DE PAUTA:</w:t>
            </w:r>
          </w:p>
        </w:tc>
        <w:tc>
          <w:tcPr>
            <w:tcW w:w="79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CBAE98" w14:textId="77777777" w:rsidR="00F77DC1" w:rsidRPr="00A07397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FISCALIZAÇÃO</w:t>
            </w:r>
          </w:p>
        </w:tc>
      </w:tr>
      <w:tr w:rsidR="00F77DC1" w:rsidRPr="003F6032" w14:paraId="332CFF79" w14:textId="77777777" w:rsidTr="002321D1">
        <w:trPr>
          <w:trHeight w:val="803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D4FC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BE6C533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5F2826E4" w14:textId="77777777" w:rsidR="00F77DC1" w:rsidRPr="00740BCD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740B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F24A" w14:textId="77777777" w:rsidR="00F77DC1" w:rsidRPr="00740BCD" w:rsidRDefault="00F77DC1" w:rsidP="002321D1">
            <w:pPr>
              <w:spacing w:line="300" w:lineRule="auto"/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  <w:p w14:paraId="2F23C538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>Plano de Ação: Acompanhamento e def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inição de responsável das ações:</w:t>
            </w:r>
          </w:p>
          <w:p w14:paraId="0A51C200" w14:textId="77777777" w:rsidR="00F77DC1" w:rsidRPr="00B25015" w:rsidRDefault="00F77DC1" w:rsidP="002321D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Ficou acordado entre os presentes que até dia 06 de agosto, todos os conselheiros vão indicar três ações do Plano para se comprometerem como responsável pela execução.</w:t>
            </w:r>
          </w:p>
          <w:p w14:paraId="7D8C2681" w14:textId="77777777" w:rsidR="00F77DC1" w:rsidRPr="008647C1" w:rsidRDefault="00F77DC1" w:rsidP="002321D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Denúncia 1316695/2021: Arquiteto e Urbanista atuando com registro interrompido:</w:t>
            </w:r>
          </w:p>
          <w:p w14:paraId="04AE1F06" w14:textId="77777777" w:rsidR="00F77DC1" w:rsidRPr="008647C1" w:rsidRDefault="00F77DC1" w:rsidP="002321D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Após tomar ciência da situação, a Comissão decidiu que a equipe de fiscalização deve notificar o profissional indicado na denúncia, utilizado como capitulação o inciso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I da Resolução CAU/BR 22/2012 (</w:t>
            </w: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Arquiteto e urbanista sem registro no CAU exercendo atividade fiscalizada por este conselho);</w:t>
            </w:r>
          </w:p>
          <w:p w14:paraId="26E8DBE8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>Indício de Infração Ético-disciplinar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– r</w:t>
            </w: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elatório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de Fiscalização 1000094433/2019:</w:t>
            </w:r>
          </w:p>
          <w:p w14:paraId="4E492BFF" w14:textId="77777777" w:rsidR="00F77DC1" w:rsidRPr="00B25015" w:rsidRDefault="00F77DC1" w:rsidP="002321D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Após apreciação do relatório, a Comissão </w:t>
            </w: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deliberou encaminhar à Comissão de Ética e Disciplina, nos termos da Resolução CAU/BR 143/2017.</w:t>
            </w:r>
          </w:p>
          <w:p w14:paraId="6829B1DF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>Auto de Infração 1000106468: RRT extemporâneo emitido no âmb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ito de processo de fiscalização:</w:t>
            </w:r>
          </w:p>
          <w:p w14:paraId="2299A8DB" w14:textId="77777777" w:rsidR="00F77DC1" w:rsidRPr="00B25015" w:rsidRDefault="00F77DC1" w:rsidP="002321D1">
            <w:pPr>
              <w:pStyle w:val="PargrafodaLista"/>
              <w:spacing w:line="276" w:lineRule="auto"/>
              <w:ind w:left="360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8647C1">
              <w:rPr>
                <w:rFonts w:asciiTheme="majorHAnsi" w:hAnsiTheme="majorHAnsi"/>
                <w:sz w:val="20"/>
                <w:szCs w:val="20"/>
                <w:lang w:val="pt-BR"/>
              </w:rPr>
              <w:t>Foi decidido que deve se dar seguimento ao processo, enviando à CEP para julgamento, informando a regularização após o auto de infração.</w:t>
            </w:r>
          </w:p>
          <w:p w14:paraId="7BEFA229" w14:textId="77777777" w:rsidR="00F77DC1" w:rsidRPr="00E37AC2" w:rsidRDefault="00F77DC1" w:rsidP="002321D1">
            <w:pPr>
              <w:rPr>
                <w:rFonts w:asciiTheme="majorHAnsi" w:eastAsia="Calibri" w:hAnsiTheme="majorHAnsi"/>
                <w:sz w:val="10"/>
                <w:szCs w:val="10"/>
                <w:lang w:val="pt-BR"/>
              </w:rPr>
            </w:pPr>
          </w:p>
        </w:tc>
      </w:tr>
      <w:bookmarkEnd w:id="0"/>
      <w:tr w:rsidR="00F77DC1" w:rsidRPr="003F6032" w14:paraId="34855DF5" w14:textId="77777777" w:rsidTr="002321D1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1931B" w14:textId="77777777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9A11F8" w14:paraId="6F57C9AE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725019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B77D5F3" w14:textId="77777777" w:rsidR="00F77DC1" w:rsidRPr="00144FD0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A07397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ASSUNTOS RELACIONADOS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À ANÁLISES TÉCNICAS</w:t>
            </w:r>
          </w:p>
        </w:tc>
      </w:tr>
      <w:tr w:rsidR="00F77DC1" w:rsidRPr="009A11F8" w14:paraId="18D1061E" w14:textId="77777777" w:rsidTr="002321D1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5E10289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742B1204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335F11E6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613E7480" w14:textId="77777777" w:rsidR="00F77DC1" w:rsidRPr="00B30203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34084B6F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2C10FE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Análise de RRTs para emissão de CAT-A:</w:t>
            </w:r>
          </w:p>
          <w:p w14:paraId="3D42C19C" w14:textId="77777777" w:rsidR="00F77DC1" w:rsidRPr="00CB03D4" w:rsidRDefault="00F77DC1" w:rsidP="002321D1">
            <w:pPr>
              <w:pStyle w:val="PargrafodaLista"/>
              <w:numPr>
                <w:ilvl w:val="2"/>
                <w:numId w:val="5"/>
              </w:numPr>
              <w:ind w:left="885" w:hanging="579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B03D4">
              <w:rPr>
                <w:rFonts w:asciiTheme="majorHAnsi" w:hAnsiTheme="majorHAnsi"/>
                <w:sz w:val="20"/>
                <w:szCs w:val="20"/>
                <w:lang w:val="pt-BR"/>
              </w:rPr>
              <w:t>Protocolos 1303498/2021 e Protocolo 1303499/2021: A Comissão decidiu que deve ser emitido um RRT para o projeto das 15 residências mencionadas na solicitação, utilizando no quantitativo o somatório das áreas, em metros quadrados;</w:t>
            </w:r>
          </w:p>
          <w:p w14:paraId="450A40CF" w14:textId="77777777" w:rsidR="00F77DC1" w:rsidRPr="00CB03D4" w:rsidRDefault="00F77DC1" w:rsidP="002321D1">
            <w:pPr>
              <w:pStyle w:val="PargrafodaLista"/>
              <w:numPr>
                <w:ilvl w:val="2"/>
                <w:numId w:val="5"/>
              </w:numPr>
              <w:ind w:left="885" w:hanging="579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B03D4">
              <w:rPr>
                <w:rFonts w:asciiTheme="majorHAnsi" w:hAnsiTheme="majorHAnsi"/>
                <w:sz w:val="20"/>
                <w:szCs w:val="20"/>
                <w:lang w:val="pt-BR"/>
              </w:rPr>
              <w:t>Protocolo 1303927/2021 e Protocolo 1303929/2021: A Comissão deliberou que, em consonância com a Resolução 91/2014, não é possível a elaboração de um só RRT para projetos em cidades ou estados diferentes, devendo a equipe técnica pedir esclarecimentos quanto aos endereços de realização das atividades r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etornar à CEP para análise, bem como, no segundo protocolo, esclarecer a expressão “cômodos” na descrição do RRT.</w:t>
            </w:r>
          </w:p>
          <w:p w14:paraId="35651573" w14:textId="77777777" w:rsidR="00F77DC1" w:rsidRDefault="00F77DC1" w:rsidP="002321D1">
            <w:pPr>
              <w:pStyle w:val="PargrafodaLista"/>
              <w:numPr>
                <w:ilvl w:val="2"/>
                <w:numId w:val="5"/>
              </w:numPr>
              <w:ind w:left="885" w:hanging="579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CB03D4">
              <w:rPr>
                <w:rFonts w:asciiTheme="majorHAnsi" w:hAnsiTheme="majorHAnsi"/>
                <w:sz w:val="20"/>
                <w:szCs w:val="20"/>
                <w:lang w:val="pt-BR"/>
              </w:rPr>
              <w:t>Protocolo 1303937/2021: No que se refere à descrição do RRT vinculado a este protocolo, a Comissão deliberou que as atividades mencionadas (“Elaboração de estudos e projetos conceituais de manejo e disposição em pilha dos rejeitos depositados”) são de atribuição de arquitetos e urbanistas, devendo a equipe técnica proceder à aprovação.</w:t>
            </w:r>
          </w:p>
          <w:p w14:paraId="01F4A4DD" w14:textId="77777777" w:rsidR="00F77DC1" w:rsidRPr="0012264B" w:rsidRDefault="00F77DC1" w:rsidP="002321D1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1655BB9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1303221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/2021 –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Recurso ao Indeferimento de CAT-A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  <w:p w14:paraId="487C8CD8" w14:textId="77777777" w:rsidR="00F77DC1" w:rsidRPr="00CB03D4" w:rsidRDefault="00F77DC1" w:rsidP="002321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Após análise, a CEP se manifestou pela manutenção do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indeferimento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da Certidão, dado que houveram e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rros de preenchimento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, há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indefinição nos documentos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apresentados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sobre os responsáveis por cada serviço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mencionado, e ainda há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falta de atribuição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de arquitetos e urbanistas para a realização </w:t>
            </w:r>
            <w:r w:rsidRPr="00CB03D4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 atividades.</w:t>
            </w:r>
          </w:p>
          <w:p w14:paraId="6D3413A2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1349081: Aceite de documentos par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 emissão de RRTs extemporâneos:</w:t>
            </w:r>
          </w:p>
          <w:p w14:paraId="01E20D8A" w14:textId="77777777" w:rsidR="00F77DC1" w:rsidRDefault="00F77DC1" w:rsidP="002321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Após análise, a Comissão deliberou para que seja realizada d</w:t>
            </w: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iligência com os contratantes, para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confirmação de </w:t>
            </w: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realização das atividades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e</w:t>
            </w: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 verifica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ção d</w:t>
            </w: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a autenticidade dos documentos 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apresentados;</w:t>
            </w:r>
          </w:p>
          <w:p w14:paraId="582E18F5" w14:textId="77777777" w:rsidR="00F77DC1" w:rsidRDefault="00F77DC1" w:rsidP="002321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  <w:p w14:paraId="7B806730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Protocolo 1340555: Verificação de interrupção de registro retroativa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:</w:t>
            </w:r>
          </w:p>
          <w:p w14:paraId="08039AC5" w14:textId="77777777" w:rsidR="00F77DC1" w:rsidRPr="0012264B" w:rsidRDefault="00F77DC1" w:rsidP="002321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Após análise da situação, foi decidido pela manutenção das condições de interrupção do registro, conforme realizado pelo setor de análise, i. e., sem que haja retroação das datas. A Comissão ainda solicitou à equipe de fiscalização que realize procedimento de averiguação de atuação do profissional com o registro interrompido.</w:t>
            </w:r>
          </w:p>
          <w:p w14:paraId="0D5534A3" w14:textId="77777777" w:rsidR="00F77DC1" w:rsidRPr="00B6509F" w:rsidRDefault="00F77DC1" w:rsidP="002321D1">
            <w:pPr>
              <w:pStyle w:val="PargrafodaLista"/>
              <w:ind w:left="360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F77DC1" w:rsidRPr="009A11F8" w14:paraId="46B0C4C5" w14:textId="77777777" w:rsidTr="002321D1">
        <w:trPr>
          <w:trHeight w:val="70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46984" w14:textId="77777777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C37452" w14:paraId="57344017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798EEA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06C5638" w14:textId="77777777" w:rsidR="00F77DC1" w:rsidRPr="00144FD0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SOLICITAÇ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ÕES </w:t>
            </w:r>
            <w:r w:rsidRPr="0079491D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DE MANIFESTAÇÃO:</w:t>
            </w:r>
          </w:p>
        </w:tc>
      </w:tr>
      <w:tr w:rsidR="00F77DC1" w:rsidRPr="009A11F8" w14:paraId="72344E13" w14:textId="77777777" w:rsidTr="002321D1">
        <w:trPr>
          <w:trHeight w:val="699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A8B9078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27320FEE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699EA1D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9B72D69" w14:textId="77777777" w:rsidR="00F77DC1" w:rsidRPr="00B30203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2355C494" w14:textId="77777777" w:rsidR="00F77DC1" w:rsidRPr="0012264B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12264B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Da Presidência, oriundo do CAU/BR: Orien</w:t>
            </w: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 xml:space="preserve">tação sobre atividades técnicas: A Comissão se manifestou no sentido que as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atividades são de atribuição de arquitetos, desde que conscritas a perímetros urbanos ou metropolitanos. A atribuição não se estende a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lastRenderedPageBreak/>
              <w:t>autoestradas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com exceção de projeto de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arquitetura paisagística.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2C63146B" w14:textId="77777777" w:rsidR="00F77DC1" w:rsidRPr="0012264B" w:rsidRDefault="00F77DC1" w:rsidP="002321D1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70131E9E" w14:textId="77777777" w:rsidR="00F77DC1" w:rsidRPr="0012264B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Coordenação de Atendimento: Obrigatoriedade de registro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 pessoa jurídica em dois conselhos profissionais: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>A orientação da Comissão é que a obrigação de registro depende do objeto social da empresa, podendo este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levar à exigência de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registro em dois conselhos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diferentes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>.</w:t>
            </w:r>
          </w:p>
          <w:p w14:paraId="288A73C2" w14:textId="77777777" w:rsidR="00F77DC1" w:rsidRPr="0012264B" w:rsidRDefault="00F77DC1" w:rsidP="002321D1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6287A3BB" w14:textId="77777777" w:rsid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>Da Coordenação de Atendimento: Registro de pessoas jurídica na modalidade Mic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roempreendedor Individual (MEI): A manifestação da Comissão foi no sentido que a Lei Complementar 123, a partir do artigo 18, não impede o registro do MEI, que somente deve ser obstado se as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atividades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descritas em seu ato de constituição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>não forem compatíveis com 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Resoluç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ões CAU/BR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1/2012 e 2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>8/2012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Para os 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casos em que ficar claro que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o</w:t>
            </w:r>
            <w:r w:rsidRPr="0012264B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MEI está atuando em desacordo com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sua configuração (atividades que desempenha extrapolam o ato constitutivo), o caso deve ser e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ncaminha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do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à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R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eceita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F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ederal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do Brasil.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</w:p>
          <w:p w14:paraId="08A11700" w14:textId="77777777" w:rsidR="00F77DC1" w:rsidRPr="00F77DC1" w:rsidRDefault="00F77DC1" w:rsidP="002321D1">
            <w:pPr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26FC1B37" w14:textId="77777777" w:rsidR="00F77DC1" w:rsidRPr="00F77DC1" w:rsidRDefault="00F77DC1" w:rsidP="002321D1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>Do Conselho Diretor: Conteúdos para a elaboração de publicação conjunta sobre a importância da profissão para a ge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stão pública e para a sociedade: Decidiu-se que o conteúdo deve e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sclarecer à sociedade o que o arquiteto faz no serviço públicos (além de projetos, análise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, licenciamentos)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. Oportunamente, o conteúdo será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desenvolv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ido pela Comissão.</w:t>
            </w:r>
          </w:p>
          <w:p w14:paraId="30ACDA02" w14:textId="77777777" w:rsidR="00F77DC1" w:rsidRPr="00043280" w:rsidRDefault="00F77DC1" w:rsidP="002321D1">
            <w:pPr>
              <w:pStyle w:val="PargrafodaLista"/>
              <w:spacing w:line="300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F77DC1" w:rsidRPr="009A11F8" w14:paraId="40FE3B2E" w14:textId="77777777" w:rsidTr="002321D1">
        <w:trPr>
          <w:trHeight w:val="70"/>
          <w:jc w:val="center"/>
        </w:trPr>
        <w:tc>
          <w:tcPr>
            <w:tcW w:w="1018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A41674" w14:textId="77777777" w:rsidR="00F77DC1" w:rsidRPr="008724F5" w:rsidRDefault="00F77DC1" w:rsidP="002321D1">
            <w:pPr>
              <w:rPr>
                <w:sz w:val="10"/>
                <w:szCs w:val="10"/>
                <w:highlight w:val="yellow"/>
                <w:lang w:val="pt-BR"/>
              </w:rPr>
            </w:pPr>
          </w:p>
        </w:tc>
      </w:tr>
      <w:tr w:rsidR="00F77DC1" w:rsidRPr="00231EEB" w14:paraId="7B1678D2" w14:textId="77777777" w:rsidTr="002321D1">
        <w:trPr>
          <w:trHeight w:val="330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3121C9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1BEA0034" w14:textId="77777777" w:rsidR="00F77DC1" w:rsidRPr="0079491D" w:rsidRDefault="00F77DC1" w:rsidP="002321D1">
            <w:pPr>
              <w:pStyle w:val="PargrafodaLista"/>
              <w:numPr>
                <w:ilvl w:val="0"/>
                <w:numId w:val="5"/>
              </w:num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/>
                <w:sz w:val="20"/>
                <w:szCs w:val="20"/>
                <w:lang w:val="pt-BR"/>
              </w:rPr>
              <w:t>OUTROS ASSUNTOS</w:t>
            </w:r>
          </w:p>
        </w:tc>
      </w:tr>
      <w:tr w:rsidR="00F77DC1" w:rsidRPr="009A11F8" w14:paraId="04E73FE5" w14:textId="77777777" w:rsidTr="002321D1">
        <w:trPr>
          <w:trHeight w:val="1158"/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825F764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</w:t>
            </w:r>
          </w:p>
          <w:p w14:paraId="53908EC5" w14:textId="77777777" w:rsidR="00F77DC1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6BC1F46E" w14:textId="77777777" w:rsidR="00F77DC1" w:rsidRPr="008724F5" w:rsidRDefault="00F77DC1" w:rsidP="002321D1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8724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7925" w:type="dxa"/>
            <w:shd w:val="clear" w:color="auto" w:fill="auto"/>
            <w:vAlign w:val="center"/>
          </w:tcPr>
          <w:p w14:paraId="0ACB0A23" w14:textId="77777777" w:rsidR="00F77DC1" w:rsidRPr="00846D3E" w:rsidRDefault="00F77DC1" w:rsidP="002321D1">
            <w:pPr>
              <w:spacing w:line="300" w:lineRule="auto"/>
              <w:rPr>
                <w:rFonts w:ascii="Cambria" w:eastAsia="Calibri" w:hAnsi="Cambria" w:cs="Times New Roman"/>
                <w:sz w:val="10"/>
                <w:szCs w:val="10"/>
                <w:lang w:val="pt-BR"/>
              </w:rPr>
            </w:pPr>
          </w:p>
          <w:p w14:paraId="5C85FAB2" w14:textId="535B2FBA" w:rsidR="00F77DC1" w:rsidRPr="00F77DC1" w:rsidRDefault="00F77DC1" w:rsidP="00F77DC1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25015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Gerência Geral, oriundo do CAU/BR: Especificar quais dados a fiscalização gostaria de acessar através do IBGE que não acessam pelo IGEO, quais as ferramentas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do IBGE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que podem nos ser úteis: A Comissão decidiu informar ao CAU/BR que, dentre os dados que possui o IBGE, é de interesse do CAU conhecer as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c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oordenadas geográficas 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endereço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recenseado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s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,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para que,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j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untamente com do endereço local, possamos cruzar.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Para casos de reformas, ou endereços próximos dos quais não dispomos de dados.</w:t>
            </w:r>
          </w:p>
          <w:p w14:paraId="6EC674A2" w14:textId="0830909D" w:rsidR="00F77DC1" w:rsidRPr="00F77DC1" w:rsidRDefault="00F77DC1" w:rsidP="00F77DC1">
            <w:pPr>
              <w:pStyle w:val="PargrafodaLista"/>
              <w:numPr>
                <w:ilvl w:val="1"/>
                <w:numId w:val="5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>Prorrogação de Registros Provisórios. Pendências com o diploma por dívi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da com a instituição de ensino: A Comissão se manifestou por não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prorrogar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 xml:space="preserve">o registro do requerente, </w:t>
            </w:r>
            <w:r w:rsidR="007B2BF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informando que este deve procurar </w:t>
            </w:r>
            <w:r w:rsidRPr="00F77DC1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resolver </w:t>
            </w:r>
            <w:r w:rsidR="007B2BF3">
              <w:rPr>
                <w:rFonts w:asciiTheme="majorHAnsi" w:hAnsiTheme="majorHAnsi"/>
                <w:sz w:val="20"/>
                <w:szCs w:val="20"/>
                <w:lang w:val="pt-BR"/>
              </w:rPr>
              <w:t>suas pendências com a instituição de ensino antes de um novo pedido.</w:t>
            </w:r>
          </w:p>
          <w:p w14:paraId="4E754BBC" w14:textId="77777777" w:rsidR="00F77DC1" w:rsidRPr="00475E5D" w:rsidRDefault="00F77DC1" w:rsidP="002321D1">
            <w:pPr>
              <w:spacing w:line="300" w:lineRule="auto"/>
              <w:jc w:val="both"/>
              <w:rPr>
                <w:rFonts w:ascii="Cambria" w:eastAsia="Calibri" w:hAnsi="Cambria" w:cs="Times New Roman"/>
                <w:sz w:val="10"/>
                <w:szCs w:val="10"/>
                <w:highlight w:val="yellow"/>
                <w:lang w:val="pt-BR"/>
              </w:rPr>
            </w:pPr>
          </w:p>
        </w:tc>
      </w:tr>
    </w:tbl>
    <w:p w14:paraId="2A18C1F4" w14:textId="77777777" w:rsidR="00B25015" w:rsidRDefault="00B25015" w:rsidP="009C2FC9">
      <w:pPr>
        <w:rPr>
          <w:sz w:val="20"/>
          <w:szCs w:val="20"/>
          <w:lang w:val="pt-BR"/>
        </w:rPr>
      </w:pP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5094"/>
        <w:gridCol w:w="5094"/>
      </w:tblGrid>
      <w:tr w:rsidR="009C2FC9" w:rsidRPr="009A11F8" w14:paraId="7DAABB99" w14:textId="77777777" w:rsidTr="00CB03D4">
        <w:trPr>
          <w:trHeight w:val="481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0B0C8" w14:textId="77777777" w:rsidR="009C2FC9" w:rsidRPr="00D22E01" w:rsidRDefault="009C2FC9" w:rsidP="00CB03D4">
            <w:pPr>
              <w:jc w:val="center"/>
              <w:rPr>
                <w:rFonts w:asciiTheme="majorHAnsi" w:hAnsiTheme="majorHAnsi"/>
                <w:sz w:val="24"/>
                <w:szCs w:val="24"/>
                <w:lang w:val="pt-BR"/>
              </w:rPr>
            </w:pPr>
            <w:r w:rsidRPr="00D22E01">
              <w:rPr>
                <w:rFonts w:asciiTheme="majorHAnsi" w:eastAsia="Calibri" w:hAnsiTheme="majorHAnsi" w:cs="Times New Roman"/>
                <w:b/>
                <w:sz w:val="24"/>
                <w:szCs w:val="24"/>
                <w:lang w:val="pt-BR"/>
              </w:rPr>
              <w:t>COMISSÃO DE EXERCÍCIO PROFISSIONAL DO CAU/MG</w:t>
            </w:r>
          </w:p>
        </w:tc>
      </w:tr>
      <w:tr w:rsidR="009C2FC9" w:rsidRPr="008B5E0B" w14:paraId="45BC2D2B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EBDFB6" w14:textId="77777777" w:rsidR="009C2FC9" w:rsidRPr="00035DCC" w:rsidRDefault="009C2FC9" w:rsidP="00CB03D4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proofErr w:type="gramStart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CONSELHEIRO(</w:t>
            </w:r>
            <w:proofErr w:type="gramEnd"/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A) ESTADUAL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1F7CD" w14:textId="77777777" w:rsidR="009C2FC9" w:rsidRPr="00035DCC" w:rsidRDefault="009C2FC9" w:rsidP="00CB03D4">
            <w:pPr>
              <w:jc w:val="center"/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  <w:r w:rsidRPr="00035DCC">
              <w:rPr>
                <w:rFonts w:asciiTheme="majorHAnsi" w:eastAsia="Calibri" w:hAnsiTheme="majorHAnsi"/>
                <w:sz w:val="20"/>
                <w:szCs w:val="20"/>
                <w:lang w:val="pt-BR"/>
              </w:rPr>
              <w:t>ASSINATURA</w:t>
            </w:r>
          </w:p>
        </w:tc>
      </w:tr>
      <w:tr w:rsidR="009C2FC9" w:rsidRPr="009A11F8" w14:paraId="08A1B3B7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1D9F37" w14:textId="77777777" w:rsidR="009C2FC9" w:rsidRDefault="009C2FC9" w:rsidP="00CB03D4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Fábio Almeida Vieira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  <w:p w14:paraId="0E71DD98" w14:textId="77777777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Regina Coeli Gouveia Varella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ED72D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67D5CC77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782934" w14:textId="77777777" w:rsidR="009C2FC9" w:rsidRDefault="009C2FC9" w:rsidP="00CB03D4">
            <w:pPr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Lucas Lima Leonel Fonseca - </w:t>
            </w:r>
            <w:r w:rsidRPr="00035DCC">
              <w:rPr>
                <w:rFonts w:asciiTheme="majorHAnsi" w:hAnsiTheme="majorHAnsi" w:cs="Times New Roman"/>
                <w:i/>
                <w:sz w:val="20"/>
                <w:szCs w:val="20"/>
                <w:lang w:val="pt-BR"/>
              </w:rPr>
              <w:t>Coord. Adjunto</w:t>
            </w:r>
          </w:p>
          <w:p w14:paraId="22D192CC" w14:textId="50C338FE" w:rsidR="009C2FC9" w:rsidRPr="00035DCC" w:rsidRDefault="00F8363E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Emmanuelle </w:t>
            </w:r>
            <w:r w:rsidR="009C2FC9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d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 Assis Silveira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6CF5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11273E33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1ECCA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</w:p>
          <w:p w14:paraId="1AB5C904" w14:textId="4C0A5249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5D26D2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Paulo Victor Yamim Pereira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D6ACE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059E5B48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9EA71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Felipe Colmanetti Moura</w:t>
            </w:r>
          </w:p>
          <w:p w14:paraId="2AF3C892" w14:textId="121EDC25" w:rsidR="009C2FC9" w:rsidRPr="00035DCC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624282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  <w:tr w:rsidR="009C2FC9" w:rsidRPr="009A11F8" w14:paraId="236BD3BA" w14:textId="77777777" w:rsidTr="00CB03D4">
        <w:trPr>
          <w:trHeight w:val="481"/>
          <w:jc w:val="center"/>
        </w:trPr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09BC5" w14:textId="77777777" w:rsidR="009C2FC9" w:rsidRDefault="009C2FC9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Rafael Decina Arantes</w:t>
            </w:r>
          </w:p>
          <w:p w14:paraId="29049A67" w14:textId="5E1D3573" w:rsidR="009C2FC9" w:rsidRPr="00035DCC" w:rsidRDefault="00846D3E" w:rsidP="00CB03D4">
            <w:pPr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35DCC"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="009C2FC9" w:rsidRPr="00035DC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C2FC9" w:rsidRPr="00035DCC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Isabela Stiegert (S)</w:t>
            </w:r>
          </w:p>
        </w:tc>
        <w:tc>
          <w:tcPr>
            <w:tcW w:w="50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41FFC" w14:textId="77777777" w:rsidR="009C2FC9" w:rsidRPr="00035DCC" w:rsidRDefault="009C2FC9" w:rsidP="00CB03D4">
            <w:pPr>
              <w:rPr>
                <w:rFonts w:asciiTheme="majorHAnsi" w:eastAsia="Calibri" w:hAnsiTheme="majorHAnsi"/>
                <w:sz w:val="20"/>
                <w:szCs w:val="20"/>
                <w:lang w:val="pt-BR"/>
              </w:rPr>
            </w:pPr>
          </w:p>
        </w:tc>
      </w:tr>
    </w:tbl>
    <w:p w14:paraId="2A056E01" w14:textId="77777777" w:rsidR="009C2FC9" w:rsidRDefault="009C2FC9" w:rsidP="00B26BE0">
      <w:pPr>
        <w:rPr>
          <w:sz w:val="20"/>
          <w:szCs w:val="20"/>
          <w:lang w:val="pt-BR"/>
        </w:rPr>
      </w:pPr>
    </w:p>
    <w:p w14:paraId="76E65AC3" w14:textId="77777777" w:rsidR="00F30B21" w:rsidRDefault="00F30B21" w:rsidP="00F30B21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7E34F335" w14:textId="77777777" w:rsidR="00F30B21" w:rsidRDefault="00F30B21" w:rsidP="00F30B21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7184DAC" w14:textId="77777777" w:rsidR="00F30B21" w:rsidRDefault="00F30B21" w:rsidP="00F30B21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A6870C9" w14:textId="77777777" w:rsidR="00F30B21" w:rsidRDefault="00F30B21" w:rsidP="00F30B21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23BBBCCB" w14:textId="77777777" w:rsidR="00F30B21" w:rsidRDefault="00F30B21" w:rsidP="00F30B21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>
        <w:rPr>
          <w:rFonts w:asciiTheme="majorHAnsi" w:hAnsiTheme="majorHAnsi" w:cs="Arial"/>
          <w:szCs w:val="20"/>
          <w:lang w:val="pt-BR" w:eastAsia="pt-BR"/>
        </w:rPr>
        <w:t>Tadeu Araújo de Souza Santos</w:t>
      </w:r>
    </w:p>
    <w:p w14:paraId="74466F31" w14:textId="77777777" w:rsidR="00F30B21" w:rsidRDefault="00F30B21" w:rsidP="00F30B21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1FBA12E8" w14:textId="0F62BDE9" w:rsidR="00AB04C1" w:rsidRPr="00F30B21" w:rsidRDefault="00F30B21" w:rsidP="00F30B21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>
        <w:rPr>
          <w:rFonts w:asciiTheme="majorHAnsi" w:hAnsiTheme="majorHAnsi" w:cs="Arial"/>
          <w:sz w:val="18"/>
          <w:szCs w:val="16"/>
          <w:lang w:val="pt-BR" w:eastAsia="pt-BR"/>
        </w:rPr>
        <w:t>Comissão de Exercício Profissional – CEP-CAU/MG</w:t>
      </w:r>
      <w:bookmarkStart w:id="1" w:name="_GoBack"/>
      <w:bookmarkEnd w:id="1"/>
    </w:p>
    <w:sectPr w:rsidR="00AB04C1" w:rsidRPr="00F30B21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E77CD" w14:textId="77777777" w:rsidR="00F22CED" w:rsidRDefault="00F22CED">
      <w:r>
        <w:separator/>
      </w:r>
    </w:p>
  </w:endnote>
  <w:endnote w:type="continuationSeparator" w:id="0">
    <w:p w14:paraId="5536F4BD" w14:textId="77777777" w:rsidR="00F22CED" w:rsidRDefault="00F2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CB03D4" w:rsidRDefault="00CB03D4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E89A1" w14:textId="77777777" w:rsidR="00F22CED" w:rsidRDefault="00F22CED">
      <w:r>
        <w:separator/>
      </w:r>
    </w:p>
  </w:footnote>
  <w:footnote w:type="continuationSeparator" w:id="0">
    <w:p w14:paraId="4246DFE1" w14:textId="77777777" w:rsidR="00F22CED" w:rsidRDefault="00F22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CB03D4" w:rsidRDefault="00CB03D4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 w15:restartNumberingAfterBreak="0">
    <w:nsid w:val="27786002"/>
    <w:multiLevelType w:val="hybridMultilevel"/>
    <w:tmpl w:val="DC820484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635178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6C27761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"/>
  </w:num>
  <w:num w:numId="14">
    <w:abstractNumId w:val="2"/>
  </w:num>
  <w:num w:numId="15">
    <w:abstractNumId w:val="3"/>
  </w:num>
  <w:num w:numId="16">
    <w:abstractNumId w:val="18"/>
  </w:num>
  <w:num w:numId="17">
    <w:abstractNumId w:val="0"/>
  </w:num>
  <w:num w:numId="18">
    <w:abstractNumId w:val="17"/>
  </w:num>
  <w:num w:numId="19">
    <w:abstractNumId w:val="16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590D"/>
    <w:rsid w:val="00023035"/>
    <w:rsid w:val="00031ECC"/>
    <w:rsid w:val="00032F5C"/>
    <w:rsid w:val="00034EDE"/>
    <w:rsid w:val="00035DCC"/>
    <w:rsid w:val="00036140"/>
    <w:rsid w:val="00040351"/>
    <w:rsid w:val="00042ECB"/>
    <w:rsid w:val="00043280"/>
    <w:rsid w:val="00074F63"/>
    <w:rsid w:val="00084D7A"/>
    <w:rsid w:val="000B24B8"/>
    <w:rsid w:val="000D3A2D"/>
    <w:rsid w:val="000D5801"/>
    <w:rsid w:val="000E3837"/>
    <w:rsid w:val="000E60E2"/>
    <w:rsid w:val="000F056F"/>
    <w:rsid w:val="000F1ECC"/>
    <w:rsid w:val="0010775F"/>
    <w:rsid w:val="001104D7"/>
    <w:rsid w:val="0011385A"/>
    <w:rsid w:val="00117E4A"/>
    <w:rsid w:val="0012264B"/>
    <w:rsid w:val="001318DD"/>
    <w:rsid w:val="00131ADC"/>
    <w:rsid w:val="00144FD0"/>
    <w:rsid w:val="00146390"/>
    <w:rsid w:val="001533CF"/>
    <w:rsid w:val="001618BE"/>
    <w:rsid w:val="0017578F"/>
    <w:rsid w:val="0017674A"/>
    <w:rsid w:val="00192F7D"/>
    <w:rsid w:val="001A4779"/>
    <w:rsid w:val="001B4C81"/>
    <w:rsid w:val="001C5F97"/>
    <w:rsid w:val="001D1B93"/>
    <w:rsid w:val="00204C0D"/>
    <w:rsid w:val="00211752"/>
    <w:rsid w:val="00212507"/>
    <w:rsid w:val="002209A3"/>
    <w:rsid w:val="00231EEB"/>
    <w:rsid w:val="00274427"/>
    <w:rsid w:val="00286830"/>
    <w:rsid w:val="002978BD"/>
    <w:rsid w:val="002A57A5"/>
    <w:rsid w:val="002C10FE"/>
    <w:rsid w:val="002C216D"/>
    <w:rsid w:val="002E6385"/>
    <w:rsid w:val="0031122E"/>
    <w:rsid w:val="00313C4E"/>
    <w:rsid w:val="00317D68"/>
    <w:rsid w:val="00330D38"/>
    <w:rsid w:val="0033415D"/>
    <w:rsid w:val="003403DC"/>
    <w:rsid w:val="00347790"/>
    <w:rsid w:val="003526E8"/>
    <w:rsid w:val="003574F9"/>
    <w:rsid w:val="0037114A"/>
    <w:rsid w:val="003C1025"/>
    <w:rsid w:val="003D67E5"/>
    <w:rsid w:val="003F238D"/>
    <w:rsid w:val="003F6032"/>
    <w:rsid w:val="00400BE8"/>
    <w:rsid w:val="0040101C"/>
    <w:rsid w:val="004019BC"/>
    <w:rsid w:val="0044192A"/>
    <w:rsid w:val="00455F5C"/>
    <w:rsid w:val="00475E5D"/>
    <w:rsid w:val="00481423"/>
    <w:rsid w:val="0049267C"/>
    <w:rsid w:val="004A5592"/>
    <w:rsid w:val="004B070F"/>
    <w:rsid w:val="004C4D47"/>
    <w:rsid w:val="004E0921"/>
    <w:rsid w:val="004E5095"/>
    <w:rsid w:val="005202A3"/>
    <w:rsid w:val="00544B65"/>
    <w:rsid w:val="0055266E"/>
    <w:rsid w:val="005664D1"/>
    <w:rsid w:val="00594763"/>
    <w:rsid w:val="005A1D65"/>
    <w:rsid w:val="005D26D2"/>
    <w:rsid w:val="00610DB9"/>
    <w:rsid w:val="0061502B"/>
    <w:rsid w:val="006232E4"/>
    <w:rsid w:val="00627A20"/>
    <w:rsid w:val="00634B33"/>
    <w:rsid w:val="00644F17"/>
    <w:rsid w:val="00655AD6"/>
    <w:rsid w:val="0066517D"/>
    <w:rsid w:val="00686D15"/>
    <w:rsid w:val="00692726"/>
    <w:rsid w:val="006A329A"/>
    <w:rsid w:val="006B1141"/>
    <w:rsid w:val="006B6454"/>
    <w:rsid w:val="006C0705"/>
    <w:rsid w:val="006D28CA"/>
    <w:rsid w:val="006D7BA9"/>
    <w:rsid w:val="006E6D2D"/>
    <w:rsid w:val="006F198E"/>
    <w:rsid w:val="00720A3D"/>
    <w:rsid w:val="00726421"/>
    <w:rsid w:val="00740BCD"/>
    <w:rsid w:val="00744EAA"/>
    <w:rsid w:val="00761C87"/>
    <w:rsid w:val="007703A8"/>
    <w:rsid w:val="0079491D"/>
    <w:rsid w:val="007958C6"/>
    <w:rsid w:val="007B2BF3"/>
    <w:rsid w:val="007C5270"/>
    <w:rsid w:val="007F1BD0"/>
    <w:rsid w:val="007F6D70"/>
    <w:rsid w:val="008041A0"/>
    <w:rsid w:val="00805D2F"/>
    <w:rsid w:val="008169CE"/>
    <w:rsid w:val="00827AA5"/>
    <w:rsid w:val="00845619"/>
    <w:rsid w:val="00846D3E"/>
    <w:rsid w:val="0084790C"/>
    <w:rsid w:val="00854E98"/>
    <w:rsid w:val="008647C1"/>
    <w:rsid w:val="008724F5"/>
    <w:rsid w:val="008B5E0B"/>
    <w:rsid w:val="008B6415"/>
    <w:rsid w:val="008C6FE0"/>
    <w:rsid w:val="008C745C"/>
    <w:rsid w:val="008D6C47"/>
    <w:rsid w:val="00901AC9"/>
    <w:rsid w:val="00904DD2"/>
    <w:rsid w:val="00935944"/>
    <w:rsid w:val="00941BF7"/>
    <w:rsid w:val="00953F7D"/>
    <w:rsid w:val="00960864"/>
    <w:rsid w:val="00967C2C"/>
    <w:rsid w:val="00975AF2"/>
    <w:rsid w:val="00990A66"/>
    <w:rsid w:val="009A11F8"/>
    <w:rsid w:val="009B3A08"/>
    <w:rsid w:val="009C023E"/>
    <w:rsid w:val="009C1FAC"/>
    <w:rsid w:val="009C2FC9"/>
    <w:rsid w:val="009D0851"/>
    <w:rsid w:val="009D124E"/>
    <w:rsid w:val="009E789F"/>
    <w:rsid w:val="00A07397"/>
    <w:rsid w:val="00A27652"/>
    <w:rsid w:val="00A760FF"/>
    <w:rsid w:val="00A76EBB"/>
    <w:rsid w:val="00AB04C1"/>
    <w:rsid w:val="00AC55C8"/>
    <w:rsid w:val="00AD725D"/>
    <w:rsid w:val="00AE167D"/>
    <w:rsid w:val="00B25015"/>
    <w:rsid w:val="00B25A86"/>
    <w:rsid w:val="00B26BE0"/>
    <w:rsid w:val="00B30203"/>
    <w:rsid w:val="00B37AF7"/>
    <w:rsid w:val="00B44E9E"/>
    <w:rsid w:val="00B46377"/>
    <w:rsid w:val="00B52DF4"/>
    <w:rsid w:val="00B60C4D"/>
    <w:rsid w:val="00B6509F"/>
    <w:rsid w:val="00B66C82"/>
    <w:rsid w:val="00B71EF7"/>
    <w:rsid w:val="00BB29FA"/>
    <w:rsid w:val="00BB53F0"/>
    <w:rsid w:val="00BB7825"/>
    <w:rsid w:val="00C22179"/>
    <w:rsid w:val="00C37452"/>
    <w:rsid w:val="00C4435B"/>
    <w:rsid w:val="00C5259B"/>
    <w:rsid w:val="00C634D6"/>
    <w:rsid w:val="00C6352D"/>
    <w:rsid w:val="00C7274A"/>
    <w:rsid w:val="00C73715"/>
    <w:rsid w:val="00C91F43"/>
    <w:rsid w:val="00CA5EF6"/>
    <w:rsid w:val="00CB03D4"/>
    <w:rsid w:val="00CB5CAA"/>
    <w:rsid w:val="00CF2C23"/>
    <w:rsid w:val="00D07860"/>
    <w:rsid w:val="00D116E3"/>
    <w:rsid w:val="00D1503A"/>
    <w:rsid w:val="00D15B06"/>
    <w:rsid w:val="00D22E01"/>
    <w:rsid w:val="00D66B18"/>
    <w:rsid w:val="00D90689"/>
    <w:rsid w:val="00DA7171"/>
    <w:rsid w:val="00DC3D44"/>
    <w:rsid w:val="00DE447E"/>
    <w:rsid w:val="00E203D1"/>
    <w:rsid w:val="00E228DF"/>
    <w:rsid w:val="00E32874"/>
    <w:rsid w:val="00E3377E"/>
    <w:rsid w:val="00E37AC2"/>
    <w:rsid w:val="00E56176"/>
    <w:rsid w:val="00E9616C"/>
    <w:rsid w:val="00EC722C"/>
    <w:rsid w:val="00F00BA5"/>
    <w:rsid w:val="00F11E8A"/>
    <w:rsid w:val="00F17FA6"/>
    <w:rsid w:val="00F22CED"/>
    <w:rsid w:val="00F30B21"/>
    <w:rsid w:val="00F460F0"/>
    <w:rsid w:val="00F64A1C"/>
    <w:rsid w:val="00F7051B"/>
    <w:rsid w:val="00F77DC1"/>
    <w:rsid w:val="00F8363E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7C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81B8B-7B24-4C61-9D36-95D791CC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2336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11</cp:revision>
  <cp:lastPrinted>2017-05-11T17:11:00Z</cp:lastPrinted>
  <dcterms:created xsi:type="dcterms:W3CDTF">2022-06-19T22:36:00Z</dcterms:created>
  <dcterms:modified xsi:type="dcterms:W3CDTF">2022-07-07T12:52:00Z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