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487"/>
      </w:tblGrid>
      <w:tr w:rsidR="00D673DB" w:rsidRPr="00FF3F9E" w14:paraId="4EAD2C86" w14:textId="77777777" w:rsidTr="002429D1">
        <w:trPr>
          <w:trHeight w:val="330"/>
          <w:jc w:val="center"/>
        </w:trPr>
        <w:tc>
          <w:tcPr>
            <w:tcW w:w="1701" w:type="dxa"/>
            <w:tcBorders>
              <w:top w:val="single" w:sz="4" w:space="0" w:color="auto"/>
              <w:bottom w:val="single" w:sz="4" w:space="0" w:color="auto"/>
            </w:tcBorders>
            <w:shd w:val="clear" w:color="auto" w:fill="D9D9D9" w:themeFill="background1" w:themeFillShade="D9"/>
            <w:vAlign w:val="center"/>
          </w:tcPr>
          <w:p w14:paraId="074FA447" w14:textId="1C9C7D76" w:rsidR="00D673DB" w:rsidRPr="008B36A9" w:rsidRDefault="00D673DB" w:rsidP="00D673DB">
            <w:pPr>
              <w:suppressLineNumbers/>
              <w:jc w:val="both"/>
              <w:rPr>
                <w:rFonts w:asciiTheme="majorHAnsi" w:hAnsiTheme="majorHAnsi" w:cs="Times New Roman"/>
                <w:sz w:val="21"/>
                <w:szCs w:val="21"/>
                <w:lang w:val="pt-BR"/>
              </w:rPr>
            </w:pPr>
            <w:r w:rsidRPr="008B36A9">
              <w:rPr>
                <w:rFonts w:asciiTheme="majorHAnsi" w:hAnsiTheme="majorHAnsi" w:cs="Times New Roman"/>
                <w:caps/>
                <w:sz w:val="21"/>
                <w:szCs w:val="21"/>
              </w:rPr>
              <w:t>referÊncias:</w:t>
            </w:r>
          </w:p>
        </w:tc>
        <w:tc>
          <w:tcPr>
            <w:tcW w:w="8487" w:type="dxa"/>
            <w:tcBorders>
              <w:top w:val="single" w:sz="4" w:space="0" w:color="auto"/>
              <w:bottom w:val="single" w:sz="4" w:space="0" w:color="auto"/>
            </w:tcBorders>
            <w:shd w:val="clear" w:color="auto" w:fill="F2F2F2" w:themeFill="background1" w:themeFillShade="F2"/>
            <w:vAlign w:val="center"/>
          </w:tcPr>
          <w:p w14:paraId="155DE880" w14:textId="171DF702" w:rsidR="00D673DB" w:rsidRPr="008B36A9" w:rsidRDefault="00D673DB" w:rsidP="001A18DB">
            <w:pPr>
              <w:suppressLineNumbers/>
              <w:jc w:val="both"/>
              <w:rPr>
                <w:sz w:val="21"/>
                <w:szCs w:val="21"/>
                <w:lang w:val="pt-BR"/>
              </w:rPr>
            </w:pPr>
            <w:r w:rsidRPr="008B36A9">
              <w:rPr>
                <w:rFonts w:asciiTheme="majorHAnsi" w:hAnsiTheme="majorHAnsi" w:cs="Times New Roman"/>
                <w:sz w:val="21"/>
                <w:szCs w:val="21"/>
                <w:lang w:val="pt-BR"/>
              </w:rPr>
              <w:t>Regimento Interno do CAU/MG</w:t>
            </w:r>
            <w:r w:rsidR="00105EC1">
              <w:rPr>
                <w:rFonts w:asciiTheme="majorHAnsi" w:hAnsiTheme="majorHAnsi" w:cs="Times New Roman"/>
                <w:sz w:val="21"/>
                <w:szCs w:val="21"/>
                <w:lang w:val="pt-BR"/>
              </w:rPr>
              <w:t>; Resolução CAU/BR 22/2012</w:t>
            </w:r>
            <w:r w:rsidR="001A18DB">
              <w:rPr>
                <w:rFonts w:asciiTheme="majorHAnsi" w:hAnsiTheme="majorHAnsi" w:cs="Times New Roman"/>
                <w:sz w:val="21"/>
                <w:szCs w:val="21"/>
                <w:lang w:val="pt-BR"/>
              </w:rPr>
              <w:t>;</w:t>
            </w:r>
            <w:r w:rsidR="009B1416">
              <w:rPr>
                <w:rFonts w:asciiTheme="majorHAnsi" w:hAnsiTheme="majorHAnsi" w:cs="Times New Roman"/>
                <w:sz w:val="21"/>
                <w:szCs w:val="21"/>
                <w:lang w:val="pt-BR"/>
              </w:rPr>
              <w:t xml:space="preserve"> </w:t>
            </w:r>
            <w:r w:rsidR="001A18DB">
              <w:rPr>
                <w:rFonts w:asciiTheme="majorHAnsi" w:hAnsiTheme="majorHAnsi" w:cs="Times New Roman"/>
                <w:sz w:val="21"/>
                <w:szCs w:val="21"/>
                <w:lang w:val="pt-BR"/>
              </w:rPr>
              <w:t>Processo 1000124209/2021</w:t>
            </w:r>
          </w:p>
        </w:tc>
      </w:tr>
      <w:tr w:rsidR="00D673DB" w:rsidRPr="00FF3F9E" w14:paraId="698B0460" w14:textId="77777777" w:rsidTr="002429D1">
        <w:trPr>
          <w:trHeight w:val="330"/>
          <w:jc w:val="center"/>
        </w:trPr>
        <w:tc>
          <w:tcPr>
            <w:tcW w:w="1701" w:type="dxa"/>
            <w:tcBorders>
              <w:top w:val="single" w:sz="4" w:space="0" w:color="auto"/>
              <w:bottom w:val="single" w:sz="4" w:space="0" w:color="auto"/>
            </w:tcBorders>
            <w:shd w:val="clear" w:color="auto" w:fill="D9D9D9" w:themeFill="background1" w:themeFillShade="D9"/>
            <w:vAlign w:val="center"/>
          </w:tcPr>
          <w:p w14:paraId="6491E918" w14:textId="057347D8" w:rsidR="00D673DB" w:rsidRPr="008B36A9" w:rsidRDefault="00D673DB" w:rsidP="00D673DB">
            <w:pPr>
              <w:suppressLineNumbers/>
              <w:jc w:val="both"/>
              <w:rPr>
                <w:rFonts w:asciiTheme="majorHAnsi" w:hAnsiTheme="majorHAnsi" w:cs="Times New Roman"/>
                <w:sz w:val="21"/>
                <w:szCs w:val="21"/>
                <w:lang w:val="pt-BR"/>
              </w:rPr>
            </w:pPr>
            <w:r w:rsidRPr="009B1416">
              <w:rPr>
                <w:rFonts w:asciiTheme="majorHAnsi" w:hAnsiTheme="majorHAnsi" w:cs="Times New Roman"/>
                <w:caps/>
                <w:sz w:val="21"/>
                <w:szCs w:val="21"/>
                <w:lang w:val="pt-BR"/>
              </w:rPr>
              <w:t>INTERESSADOS:</w:t>
            </w:r>
          </w:p>
        </w:tc>
        <w:tc>
          <w:tcPr>
            <w:tcW w:w="8487" w:type="dxa"/>
            <w:tcBorders>
              <w:top w:val="single" w:sz="4" w:space="0" w:color="auto"/>
              <w:bottom w:val="single" w:sz="4" w:space="0" w:color="auto"/>
            </w:tcBorders>
            <w:shd w:val="clear" w:color="auto" w:fill="F2F2F2" w:themeFill="background1" w:themeFillShade="F2"/>
            <w:vAlign w:val="center"/>
          </w:tcPr>
          <w:p w14:paraId="4CA82472" w14:textId="4273B560" w:rsidR="00D673DB" w:rsidRPr="008B36A9" w:rsidRDefault="00D673DB" w:rsidP="00D673DB">
            <w:pPr>
              <w:suppressLineNumbers/>
              <w:jc w:val="both"/>
              <w:rPr>
                <w:rFonts w:asciiTheme="majorHAnsi" w:hAnsiTheme="majorHAnsi" w:cs="Times New Roman"/>
                <w:sz w:val="21"/>
                <w:szCs w:val="21"/>
                <w:lang w:val="pt-BR"/>
              </w:rPr>
            </w:pPr>
            <w:r w:rsidRPr="008B36A9">
              <w:rPr>
                <w:rFonts w:asciiTheme="majorHAnsi" w:hAnsiTheme="majorHAnsi" w:cs="Times New Roman"/>
                <w:sz w:val="21"/>
                <w:szCs w:val="21"/>
                <w:lang w:val="pt-BR"/>
              </w:rPr>
              <w:t xml:space="preserve">Comissão de Exercício Profissional; </w:t>
            </w:r>
            <w:r w:rsidR="00105EC1">
              <w:rPr>
                <w:rFonts w:asciiTheme="majorHAnsi" w:hAnsiTheme="majorHAnsi" w:cs="Times New Roman"/>
                <w:sz w:val="21"/>
                <w:szCs w:val="21"/>
                <w:lang w:val="pt-BR"/>
              </w:rPr>
              <w:t>Gerência Técnica e de Fiscalização</w:t>
            </w:r>
            <w:r w:rsidR="00F96261">
              <w:rPr>
                <w:rFonts w:asciiTheme="majorHAnsi" w:hAnsiTheme="majorHAnsi" w:cs="Times New Roman"/>
                <w:sz w:val="21"/>
                <w:szCs w:val="21"/>
                <w:lang w:val="pt-BR"/>
              </w:rPr>
              <w:t>; Presidência;</w:t>
            </w:r>
          </w:p>
        </w:tc>
      </w:tr>
      <w:tr w:rsidR="00D673DB" w:rsidRPr="00C5443D" w14:paraId="6C7AC6E9" w14:textId="77777777" w:rsidTr="009B1416">
        <w:trPr>
          <w:trHeight w:val="588"/>
          <w:jc w:val="center"/>
        </w:trPr>
        <w:tc>
          <w:tcPr>
            <w:tcW w:w="1701" w:type="dxa"/>
            <w:tcBorders>
              <w:top w:val="single" w:sz="4" w:space="0" w:color="auto"/>
              <w:bottom w:val="single" w:sz="4" w:space="0" w:color="auto"/>
            </w:tcBorders>
            <w:shd w:val="clear" w:color="auto" w:fill="D9D9D9" w:themeFill="background1" w:themeFillShade="D9"/>
            <w:vAlign w:val="center"/>
          </w:tcPr>
          <w:p w14:paraId="1533C459" w14:textId="5B5A4338" w:rsidR="00D673DB" w:rsidRPr="008B36A9" w:rsidRDefault="00D673DB" w:rsidP="00D673DB">
            <w:pPr>
              <w:suppressLineNumbers/>
              <w:jc w:val="both"/>
              <w:rPr>
                <w:rFonts w:asciiTheme="majorHAnsi" w:hAnsiTheme="majorHAnsi" w:cs="Times New Roman"/>
                <w:sz w:val="21"/>
                <w:szCs w:val="21"/>
                <w:lang w:val="pt-BR"/>
              </w:rPr>
            </w:pPr>
            <w:r w:rsidRPr="009B1416">
              <w:rPr>
                <w:rFonts w:asciiTheme="majorHAnsi" w:hAnsiTheme="majorHAnsi" w:cs="Times New Roman"/>
                <w:caps/>
                <w:sz w:val="21"/>
                <w:szCs w:val="21"/>
                <w:lang w:val="pt-BR"/>
              </w:rPr>
              <w:t>Assunto:</w:t>
            </w:r>
          </w:p>
        </w:tc>
        <w:tc>
          <w:tcPr>
            <w:tcW w:w="8487" w:type="dxa"/>
            <w:tcBorders>
              <w:top w:val="single" w:sz="4" w:space="0" w:color="auto"/>
              <w:bottom w:val="single" w:sz="4" w:space="0" w:color="auto"/>
            </w:tcBorders>
            <w:shd w:val="clear" w:color="auto" w:fill="F2F2F2" w:themeFill="background1" w:themeFillShade="F2"/>
            <w:vAlign w:val="center"/>
          </w:tcPr>
          <w:p w14:paraId="7E004C44" w14:textId="6B2591C5" w:rsidR="00D673DB" w:rsidRPr="009B1416" w:rsidRDefault="001A18DB" w:rsidP="001A18DB">
            <w:pPr>
              <w:suppressLineNumbers/>
              <w:jc w:val="both"/>
              <w:rPr>
                <w:rFonts w:asciiTheme="majorHAnsi" w:hAnsiTheme="majorHAnsi" w:cs="Times New Roman"/>
                <w:szCs w:val="21"/>
                <w:lang w:val="pt-BR"/>
              </w:rPr>
            </w:pPr>
            <w:r>
              <w:rPr>
                <w:rFonts w:asciiTheme="majorHAnsi" w:hAnsiTheme="majorHAnsi" w:cs="Times New Roman"/>
                <w:b/>
                <w:szCs w:val="21"/>
                <w:lang w:val="pt-BR"/>
              </w:rPr>
              <w:t>ANÁLISE DE SITUAÇÃO SOCIOECONÔMICA EM DEFESA APRESENTADA EM PROCESSO DE FISCALIZAÇÃO</w:t>
            </w:r>
          </w:p>
        </w:tc>
      </w:tr>
      <w:tr w:rsidR="00D673DB" w:rsidRPr="00C5443D" w14:paraId="1EA07FBA" w14:textId="77777777" w:rsidTr="008B36A9">
        <w:trPr>
          <w:trHeight w:val="85"/>
          <w:jc w:val="center"/>
        </w:trPr>
        <w:tc>
          <w:tcPr>
            <w:tcW w:w="10188" w:type="dxa"/>
            <w:gridSpan w:val="2"/>
            <w:tcBorders>
              <w:top w:val="single" w:sz="4" w:space="0" w:color="auto"/>
              <w:bottom w:val="single" w:sz="12" w:space="0" w:color="auto"/>
            </w:tcBorders>
            <w:shd w:val="clear" w:color="auto" w:fill="auto"/>
            <w:vAlign w:val="center"/>
          </w:tcPr>
          <w:p w14:paraId="3D2DBC60" w14:textId="633221CC" w:rsidR="00D673DB" w:rsidRDefault="00D673DB" w:rsidP="00D673DB">
            <w:pPr>
              <w:suppressLineNumbers/>
              <w:jc w:val="both"/>
              <w:rPr>
                <w:rFonts w:asciiTheme="majorHAnsi" w:hAnsiTheme="majorHAnsi" w:cs="Times New Roman"/>
                <w:sz w:val="10"/>
                <w:szCs w:val="10"/>
                <w:lang w:val="pt-BR"/>
              </w:rPr>
            </w:pPr>
          </w:p>
        </w:tc>
      </w:tr>
      <w:tr w:rsidR="00D673DB" w:rsidRPr="00FF3F9E" w14:paraId="49565CAD" w14:textId="77777777" w:rsidTr="008B36A9">
        <w:trPr>
          <w:trHeight w:val="330"/>
          <w:jc w:val="center"/>
        </w:trPr>
        <w:tc>
          <w:tcPr>
            <w:tcW w:w="10188" w:type="dxa"/>
            <w:gridSpan w:val="2"/>
            <w:tcBorders>
              <w:top w:val="single" w:sz="12" w:space="0" w:color="auto"/>
              <w:bottom w:val="single" w:sz="12" w:space="0" w:color="auto"/>
            </w:tcBorders>
            <w:shd w:val="clear" w:color="auto" w:fill="D9D9D9" w:themeFill="background1" w:themeFillShade="D9"/>
            <w:vAlign w:val="center"/>
          </w:tcPr>
          <w:p w14:paraId="0E50B5AD" w14:textId="7900647D" w:rsidR="00D673DB" w:rsidRDefault="00D673DB" w:rsidP="001A18DB">
            <w:pPr>
              <w:suppressLineNumbers/>
              <w:jc w:val="center"/>
              <w:rPr>
                <w:rFonts w:asciiTheme="majorHAnsi" w:hAnsiTheme="majorHAnsi" w:cs="Times New Roman"/>
                <w:b/>
                <w:sz w:val="20"/>
                <w:szCs w:val="20"/>
                <w:lang w:val="pt-BR"/>
              </w:rPr>
            </w:pPr>
            <w:r w:rsidRPr="00D673DB">
              <w:rPr>
                <w:rFonts w:asciiTheme="majorHAnsi" w:hAnsiTheme="majorHAnsi" w:cs="Times New Roman"/>
                <w:b/>
                <w:lang w:val="pt-BR"/>
              </w:rPr>
              <w:t xml:space="preserve">DELIBERAÇÃO Nº </w:t>
            </w:r>
            <w:r w:rsidR="008B36A9">
              <w:rPr>
                <w:rFonts w:asciiTheme="majorHAnsi" w:hAnsiTheme="majorHAnsi" w:cs="Times New Roman"/>
                <w:b/>
                <w:lang w:val="pt-BR"/>
              </w:rPr>
              <w:t>17</w:t>
            </w:r>
            <w:r w:rsidR="00D55189">
              <w:rPr>
                <w:rFonts w:asciiTheme="majorHAnsi" w:hAnsiTheme="majorHAnsi" w:cs="Times New Roman"/>
                <w:b/>
                <w:lang w:val="pt-BR"/>
              </w:rPr>
              <w:t>7.</w:t>
            </w:r>
            <w:r w:rsidR="001A18DB">
              <w:rPr>
                <w:rFonts w:asciiTheme="majorHAnsi" w:hAnsiTheme="majorHAnsi" w:cs="Times New Roman"/>
                <w:b/>
                <w:lang w:val="pt-BR"/>
              </w:rPr>
              <w:t>3.2</w:t>
            </w:r>
            <w:r w:rsidR="00D55189">
              <w:rPr>
                <w:rFonts w:asciiTheme="majorHAnsi" w:hAnsiTheme="majorHAnsi" w:cs="Times New Roman"/>
                <w:b/>
                <w:lang w:val="pt-BR"/>
              </w:rPr>
              <w:t>/</w:t>
            </w:r>
            <w:r w:rsidRPr="00D673DB">
              <w:rPr>
                <w:rFonts w:asciiTheme="majorHAnsi" w:hAnsiTheme="majorHAnsi" w:cs="Times New Roman"/>
                <w:b/>
                <w:lang w:val="pt-BR"/>
              </w:rPr>
              <w:t>202</w:t>
            </w:r>
            <w:r w:rsidR="008B36A9">
              <w:rPr>
                <w:rFonts w:asciiTheme="majorHAnsi" w:hAnsiTheme="majorHAnsi" w:cs="Times New Roman"/>
                <w:b/>
                <w:lang w:val="pt-BR"/>
              </w:rPr>
              <w:t>1</w:t>
            </w:r>
            <w:r w:rsidRPr="00D673DB">
              <w:rPr>
                <w:rFonts w:asciiTheme="majorHAnsi" w:hAnsiTheme="majorHAnsi" w:cs="Times New Roman"/>
                <w:b/>
                <w:lang w:val="pt-BR"/>
              </w:rPr>
              <w:t xml:space="preserve"> </w:t>
            </w:r>
            <w:r w:rsidRPr="00D673DB">
              <w:rPr>
                <w:rFonts w:cs="Times New Roman"/>
                <w:b/>
                <w:lang w:val="pt-BR"/>
              </w:rPr>
              <w:t xml:space="preserve">– </w:t>
            </w:r>
            <w:r w:rsidRPr="00D673DB">
              <w:rPr>
                <w:rFonts w:asciiTheme="majorHAnsi" w:hAnsiTheme="majorHAnsi" w:cs="Times New Roman"/>
                <w:b/>
                <w:lang w:val="pt-BR"/>
              </w:rPr>
              <w:t>CEP-CAU/MG</w:t>
            </w:r>
          </w:p>
        </w:tc>
      </w:tr>
    </w:tbl>
    <w:p w14:paraId="4DFB29E4" w14:textId="2CE75419" w:rsidR="002A57A5" w:rsidRPr="008B36A9" w:rsidRDefault="002A57A5" w:rsidP="00E552B6">
      <w:pPr>
        <w:suppressLineNumbers/>
        <w:spacing w:line="276" w:lineRule="auto"/>
        <w:jc w:val="both"/>
        <w:rPr>
          <w:rFonts w:asciiTheme="majorHAnsi" w:hAnsiTheme="majorHAnsi" w:cs="Times New Roman"/>
          <w:lang w:val="pt-BR"/>
        </w:rPr>
      </w:pPr>
    </w:p>
    <w:p w14:paraId="0834AFCE" w14:textId="7F7CCAC2" w:rsidR="008B36A9" w:rsidRPr="008B36A9" w:rsidRDefault="008B36A9" w:rsidP="00E552B6">
      <w:pPr>
        <w:suppressLineNumbers/>
        <w:spacing w:line="276" w:lineRule="auto"/>
        <w:jc w:val="both"/>
        <w:rPr>
          <w:rFonts w:asciiTheme="majorHAnsi" w:hAnsiTheme="majorHAnsi" w:cs="Times New Roman"/>
          <w:lang w:val="pt-BR"/>
        </w:rPr>
      </w:pPr>
      <w:r w:rsidRPr="008B36A9">
        <w:rPr>
          <w:rFonts w:asciiTheme="majorHAnsi" w:hAnsiTheme="majorHAnsi" w:cs="Times New Roman"/>
          <w:lang w:val="pt-BR"/>
        </w:rPr>
        <w:t xml:space="preserve">A COMISSÃO DE EXERCÍCIO PROFISSIONAL – CEP-CAU/MG, reunida ordinariamente em ambiente virtual, através de videoconferência, no dia </w:t>
      </w:r>
      <w:r w:rsidR="00D55189">
        <w:rPr>
          <w:rFonts w:asciiTheme="majorHAnsi" w:hAnsiTheme="majorHAnsi" w:cs="Times New Roman"/>
          <w:lang w:val="pt-BR"/>
        </w:rPr>
        <w:t>21 de junho</w:t>
      </w:r>
      <w:r w:rsidR="00A77F9F" w:rsidRPr="00A77F9F">
        <w:rPr>
          <w:rFonts w:asciiTheme="majorHAnsi" w:hAnsiTheme="majorHAnsi" w:cs="Times New Roman"/>
          <w:lang w:val="pt-BR"/>
        </w:rPr>
        <w:t xml:space="preserve"> de 2021</w:t>
      </w:r>
      <w:r w:rsidRPr="008B36A9">
        <w:rPr>
          <w:rFonts w:asciiTheme="majorHAnsi" w:hAnsiTheme="majorHAnsi" w:cs="Times New Roman"/>
          <w:lang w:val="pt-BR"/>
        </w:rPr>
        <w:t xml:space="preserve">, após análise do assunto em epígrafe, no uso das competências </w:t>
      </w:r>
      <w:r w:rsidR="00A77F9F">
        <w:rPr>
          <w:rFonts w:asciiTheme="majorHAnsi" w:hAnsiTheme="majorHAnsi" w:cs="Times New Roman"/>
          <w:lang w:val="pt-BR"/>
        </w:rPr>
        <w:t>regimentais</w:t>
      </w:r>
      <w:r w:rsidRPr="008B36A9">
        <w:rPr>
          <w:rFonts w:asciiTheme="majorHAnsi" w:hAnsiTheme="majorHAnsi" w:cs="Times New Roman"/>
          <w:lang w:val="pt-BR"/>
        </w:rPr>
        <w:t>, e</w:t>
      </w:r>
    </w:p>
    <w:p w14:paraId="68492CF4" w14:textId="77777777" w:rsidR="008B36A9" w:rsidRPr="008B36A9" w:rsidRDefault="008B36A9" w:rsidP="00E552B6">
      <w:pPr>
        <w:suppressLineNumbers/>
        <w:spacing w:line="276" w:lineRule="auto"/>
        <w:jc w:val="both"/>
        <w:rPr>
          <w:rFonts w:asciiTheme="majorHAnsi" w:hAnsiTheme="majorHAnsi" w:cs="Times New Roman"/>
          <w:lang w:val="pt-BR"/>
        </w:rPr>
      </w:pPr>
    </w:p>
    <w:p w14:paraId="34D4AA70" w14:textId="3801DE27" w:rsidR="00D55189" w:rsidRPr="00315EEC" w:rsidRDefault="00D55189" w:rsidP="00D55189">
      <w:pPr>
        <w:widowControl/>
        <w:suppressLineNumbers/>
        <w:spacing w:line="276" w:lineRule="auto"/>
        <w:jc w:val="both"/>
        <w:rPr>
          <w:rFonts w:asciiTheme="majorHAnsi" w:hAnsiTheme="majorHAnsi" w:cs="Times New Roman"/>
          <w:lang w:val="pt-BR"/>
        </w:rPr>
      </w:pPr>
      <w:r w:rsidRPr="00315EEC">
        <w:rPr>
          <w:rFonts w:asciiTheme="majorHAnsi" w:hAnsiTheme="majorHAnsi" w:cs="Times New Roman"/>
          <w:lang w:val="pt-BR"/>
        </w:rPr>
        <w:t xml:space="preserve">Considerando o artigo </w:t>
      </w:r>
      <w:r w:rsidR="009B1416">
        <w:rPr>
          <w:rFonts w:asciiTheme="majorHAnsi" w:hAnsiTheme="majorHAnsi" w:cs="Times New Roman"/>
          <w:lang w:val="pt-BR"/>
        </w:rPr>
        <w:t xml:space="preserve">96 </w:t>
      </w:r>
      <w:r w:rsidRPr="00315EEC">
        <w:rPr>
          <w:rFonts w:asciiTheme="majorHAnsi" w:hAnsiTheme="majorHAnsi" w:cs="Times New Roman"/>
          <w:lang w:val="pt-BR"/>
        </w:rPr>
        <w:t>do Regimento Interno do CAU/MG:</w:t>
      </w:r>
    </w:p>
    <w:p w14:paraId="108964E7" w14:textId="77777777" w:rsidR="00C5443D" w:rsidRPr="00C5443D" w:rsidRDefault="00C5443D" w:rsidP="00C5443D">
      <w:pPr>
        <w:widowControl/>
        <w:suppressLineNumbers/>
        <w:spacing w:line="276" w:lineRule="auto"/>
        <w:ind w:left="2268"/>
        <w:jc w:val="both"/>
        <w:rPr>
          <w:rFonts w:asciiTheme="majorHAnsi" w:hAnsiTheme="majorHAnsi" w:cs="Times New Roman"/>
          <w:i/>
          <w:sz w:val="10"/>
          <w:szCs w:val="10"/>
          <w:lang w:val="pt-BR"/>
        </w:rPr>
      </w:pPr>
    </w:p>
    <w:p w14:paraId="3ABC8AE2" w14:textId="77777777" w:rsidR="00C5443D" w:rsidRPr="00C5443D" w:rsidRDefault="00C5443D" w:rsidP="00C5443D">
      <w:pPr>
        <w:widowControl/>
        <w:suppressLineNumbers/>
        <w:spacing w:line="276" w:lineRule="auto"/>
        <w:ind w:left="2268"/>
        <w:jc w:val="both"/>
        <w:rPr>
          <w:rFonts w:asciiTheme="majorHAnsi" w:hAnsiTheme="majorHAnsi" w:cs="Times New Roman"/>
          <w:i/>
          <w:lang w:val="pt-BR"/>
        </w:rPr>
      </w:pPr>
      <w:r w:rsidRPr="00C5443D">
        <w:rPr>
          <w:rFonts w:asciiTheme="majorHAnsi" w:hAnsiTheme="majorHAnsi" w:cs="Times New Roman"/>
          <w:i/>
          <w:lang w:val="pt-BR"/>
        </w:rPr>
        <w:t>Art. 96. Para cumprir a finalidade de zelar pela orientação e fiscalização do exercício da Arquitetura e Urbanismo, competirá à Comissão de Exercício Profissional do CAU/MG (CEP-CAU/MG), no âmbito de sua competência:</w:t>
      </w:r>
    </w:p>
    <w:p w14:paraId="5C055033" w14:textId="77777777" w:rsidR="00C5443D" w:rsidRDefault="00C5443D" w:rsidP="00C5443D">
      <w:pPr>
        <w:widowControl/>
        <w:suppressLineNumbers/>
        <w:spacing w:line="276" w:lineRule="auto"/>
        <w:ind w:left="2268"/>
        <w:jc w:val="both"/>
        <w:rPr>
          <w:rFonts w:asciiTheme="majorHAnsi" w:hAnsiTheme="majorHAnsi" w:cs="Times New Roman"/>
          <w:i/>
          <w:lang w:val="pt-BR"/>
        </w:rPr>
      </w:pPr>
      <w:r>
        <w:rPr>
          <w:rFonts w:asciiTheme="majorHAnsi" w:hAnsiTheme="majorHAnsi" w:cs="Times New Roman"/>
          <w:i/>
          <w:lang w:val="pt-BR"/>
        </w:rPr>
        <w:t>(...)</w:t>
      </w:r>
    </w:p>
    <w:p w14:paraId="202802B1" w14:textId="77777777" w:rsidR="00C5443D" w:rsidRPr="00C5443D" w:rsidRDefault="00C5443D" w:rsidP="00C5443D">
      <w:pPr>
        <w:widowControl/>
        <w:suppressLineNumbers/>
        <w:spacing w:line="276" w:lineRule="auto"/>
        <w:ind w:left="2268"/>
        <w:jc w:val="both"/>
        <w:rPr>
          <w:rFonts w:asciiTheme="majorHAnsi" w:hAnsiTheme="majorHAnsi" w:cs="Times New Roman"/>
          <w:i/>
          <w:lang w:val="pt-BR"/>
        </w:rPr>
      </w:pPr>
      <w:r w:rsidRPr="00C5443D">
        <w:rPr>
          <w:rFonts w:asciiTheme="majorHAnsi" w:hAnsiTheme="majorHAnsi" w:cs="Times New Roman"/>
          <w:i/>
          <w:lang w:val="pt-BR"/>
        </w:rPr>
        <w:t xml:space="preserve">VI - </w:t>
      </w:r>
      <w:proofErr w:type="gramStart"/>
      <w:r w:rsidRPr="00C5443D">
        <w:rPr>
          <w:rFonts w:asciiTheme="majorHAnsi" w:hAnsiTheme="majorHAnsi" w:cs="Times New Roman"/>
          <w:i/>
          <w:lang w:val="pt-BR"/>
        </w:rPr>
        <w:t>instruir</w:t>
      </w:r>
      <w:proofErr w:type="gramEnd"/>
      <w:r w:rsidRPr="00C5443D">
        <w:rPr>
          <w:rFonts w:asciiTheme="majorHAnsi" w:hAnsiTheme="majorHAnsi" w:cs="Times New Roman"/>
          <w:i/>
          <w:lang w:val="pt-BR"/>
        </w:rPr>
        <w:t>, apreciar e deliberar sobre julgamento, em primeira instância, de autuação lavrada em processos de fiscalização do exercício profissional;</w:t>
      </w:r>
    </w:p>
    <w:p w14:paraId="135658DD" w14:textId="77777777" w:rsidR="00C5443D" w:rsidRPr="00C5443D" w:rsidRDefault="00C5443D" w:rsidP="00C5443D">
      <w:pPr>
        <w:widowControl/>
        <w:suppressLineNumbers/>
        <w:spacing w:line="276" w:lineRule="auto"/>
        <w:ind w:left="2268"/>
        <w:jc w:val="both"/>
        <w:rPr>
          <w:rFonts w:asciiTheme="majorHAnsi" w:hAnsiTheme="majorHAnsi" w:cs="Times New Roman"/>
          <w:i/>
          <w:lang w:val="pt-BR"/>
        </w:rPr>
      </w:pPr>
      <w:r w:rsidRPr="00C5443D">
        <w:rPr>
          <w:rFonts w:asciiTheme="majorHAnsi" w:hAnsiTheme="majorHAnsi" w:cs="Times New Roman"/>
          <w:i/>
          <w:lang w:val="pt-BR"/>
        </w:rPr>
        <w:t>VII - propor, apreciar e deliberar, em consonância com os atos já normatizados pelo CAU/BR, sobre:</w:t>
      </w:r>
    </w:p>
    <w:p w14:paraId="5D4D52DF" w14:textId="77777777" w:rsidR="00C5443D" w:rsidRPr="00C5443D" w:rsidRDefault="00C5443D" w:rsidP="00C5443D">
      <w:pPr>
        <w:widowControl/>
        <w:suppressLineNumbers/>
        <w:spacing w:line="276" w:lineRule="auto"/>
        <w:ind w:left="2268"/>
        <w:jc w:val="both"/>
        <w:rPr>
          <w:rFonts w:asciiTheme="majorHAnsi" w:hAnsiTheme="majorHAnsi" w:cs="Times New Roman"/>
          <w:i/>
          <w:lang w:val="pt-BR"/>
        </w:rPr>
      </w:pPr>
      <w:r w:rsidRPr="00C5443D">
        <w:rPr>
          <w:rFonts w:asciiTheme="majorHAnsi" w:hAnsiTheme="majorHAnsi" w:cs="Times New Roman"/>
          <w:i/>
          <w:lang w:val="pt-BR"/>
        </w:rPr>
        <w:t>a) ações de fiscalização;</w:t>
      </w:r>
    </w:p>
    <w:p w14:paraId="7A712CD2" w14:textId="7B21C166" w:rsidR="00C5443D" w:rsidRPr="00C5443D" w:rsidRDefault="00C5443D" w:rsidP="00C5443D">
      <w:pPr>
        <w:widowControl/>
        <w:suppressLineNumbers/>
        <w:spacing w:line="276" w:lineRule="auto"/>
        <w:ind w:left="2268"/>
        <w:jc w:val="both"/>
        <w:rPr>
          <w:rFonts w:asciiTheme="majorHAnsi" w:hAnsiTheme="majorHAnsi" w:cs="Times New Roman"/>
          <w:i/>
          <w:lang w:val="pt-BR"/>
        </w:rPr>
      </w:pPr>
      <w:r>
        <w:rPr>
          <w:rFonts w:asciiTheme="majorHAnsi" w:hAnsiTheme="majorHAnsi" w:cs="Times New Roman"/>
          <w:i/>
          <w:lang w:val="pt-BR"/>
        </w:rPr>
        <w:t>(...)</w:t>
      </w:r>
    </w:p>
    <w:p w14:paraId="0F7B8329" w14:textId="77777777" w:rsidR="00C5443D" w:rsidRPr="00C5443D" w:rsidRDefault="00C5443D" w:rsidP="00C5443D">
      <w:pPr>
        <w:widowControl/>
        <w:suppressLineNumbers/>
        <w:spacing w:line="276" w:lineRule="auto"/>
        <w:ind w:left="2268"/>
        <w:jc w:val="both"/>
        <w:rPr>
          <w:rFonts w:asciiTheme="majorHAnsi" w:hAnsiTheme="majorHAnsi" w:cs="Times New Roman"/>
          <w:i/>
          <w:lang w:val="pt-BR"/>
        </w:rPr>
      </w:pPr>
      <w:r w:rsidRPr="00C5443D">
        <w:rPr>
          <w:rFonts w:asciiTheme="majorHAnsi" w:hAnsiTheme="majorHAnsi" w:cs="Times New Roman"/>
          <w:i/>
          <w:lang w:val="pt-BR"/>
        </w:rPr>
        <w:t>X - propor, apreciar e deliberar sobre apuração de irregularidades e responsabilidades relacionadas aos aspectos de exercício profissional, no âmbito de sua competência; e</w:t>
      </w:r>
    </w:p>
    <w:p w14:paraId="38597614" w14:textId="77777777" w:rsidR="00D55189" w:rsidRDefault="00D55189" w:rsidP="00A20906">
      <w:pPr>
        <w:suppressLineNumbers/>
        <w:spacing w:line="276" w:lineRule="auto"/>
        <w:jc w:val="both"/>
        <w:rPr>
          <w:rFonts w:asciiTheme="majorHAnsi" w:hAnsiTheme="majorHAnsi" w:cs="Times New Roman"/>
          <w:lang w:val="pt-BR"/>
        </w:rPr>
      </w:pPr>
    </w:p>
    <w:p w14:paraId="4BC6A563" w14:textId="2AA20643" w:rsidR="009B1416" w:rsidRDefault="00D55189" w:rsidP="001A18DB">
      <w:pPr>
        <w:suppressLineNumbers/>
        <w:spacing w:line="276" w:lineRule="auto"/>
        <w:jc w:val="both"/>
        <w:rPr>
          <w:rFonts w:asciiTheme="majorHAnsi" w:hAnsiTheme="majorHAnsi" w:cs="Times New Roman"/>
          <w:sz w:val="21"/>
          <w:szCs w:val="21"/>
          <w:lang w:val="pt-BR"/>
        </w:rPr>
      </w:pPr>
      <w:r>
        <w:rPr>
          <w:rFonts w:asciiTheme="majorHAnsi" w:hAnsiTheme="majorHAnsi" w:cs="Times New Roman"/>
          <w:lang w:val="pt-BR"/>
        </w:rPr>
        <w:t>C</w:t>
      </w:r>
      <w:r w:rsidR="00C5443D">
        <w:rPr>
          <w:rFonts w:asciiTheme="majorHAnsi" w:hAnsiTheme="majorHAnsi" w:cs="Times New Roman"/>
          <w:lang w:val="pt-BR"/>
        </w:rPr>
        <w:t xml:space="preserve">onsiderando a </w:t>
      </w:r>
      <w:r w:rsidR="001A18DB">
        <w:rPr>
          <w:rFonts w:asciiTheme="majorHAnsi" w:hAnsiTheme="majorHAnsi" w:cs="Times New Roman"/>
          <w:lang w:val="pt-BR"/>
        </w:rPr>
        <w:t xml:space="preserve">manifestação apresentada pelo administrado no processo de fiscalização </w:t>
      </w:r>
      <w:r w:rsidR="001A18DB">
        <w:rPr>
          <w:rFonts w:asciiTheme="majorHAnsi" w:hAnsiTheme="majorHAnsi" w:cs="Times New Roman"/>
          <w:sz w:val="21"/>
          <w:szCs w:val="21"/>
          <w:lang w:val="pt-BR"/>
        </w:rPr>
        <w:t>1000124209/2021, em fase de notificação preventiva, onde expõe sua condição socioeconômica, decorrente de problemas de saúde originados por doença grave, que ocasionaram sua aposentadoria por invalidez, bem como a documentação comprobatória apensada à sua arguição;</w:t>
      </w:r>
    </w:p>
    <w:p w14:paraId="1A5BAF24" w14:textId="77777777" w:rsidR="00B1495E" w:rsidRDefault="00B1495E" w:rsidP="001A18DB">
      <w:pPr>
        <w:suppressLineNumbers/>
        <w:spacing w:line="276" w:lineRule="auto"/>
        <w:jc w:val="both"/>
        <w:rPr>
          <w:rFonts w:asciiTheme="majorHAnsi" w:hAnsiTheme="majorHAnsi" w:cs="Times New Roman"/>
          <w:sz w:val="21"/>
          <w:szCs w:val="21"/>
          <w:lang w:val="pt-BR"/>
        </w:rPr>
      </w:pPr>
    </w:p>
    <w:p w14:paraId="33BBDEB2" w14:textId="5B8756AD" w:rsidR="00B1495E" w:rsidRDefault="00B1495E" w:rsidP="00B1495E">
      <w:pPr>
        <w:suppressLineNumbers/>
        <w:spacing w:line="276" w:lineRule="auto"/>
        <w:jc w:val="both"/>
        <w:rPr>
          <w:rFonts w:asciiTheme="majorHAnsi" w:hAnsiTheme="majorHAnsi" w:cs="Times New Roman"/>
          <w:lang w:val="pt-BR"/>
        </w:rPr>
      </w:pPr>
      <w:r>
        <w:rPr>
          <w:rFonts w:asciiTheme="majorHAnsi" w:hAnsiTheme="majorHAnsi" w:cs="Times New Roman"/>
          <w:lang w:val="pt-BR"/>
        </w:rPr>
        <w:t>Considerando que, ainda que constatada a apresentação da pessoa jurídica representada pelo recorrente como prestadora de serviços relacionados com a Arquitetura e Urbanismo, através de Classificação Nacional de Atividade Econômica (CNAE) inserida em seu cadastro na Receita Federal do Brasil, não foram identificados indícios de prestações de serviços técnicos ou danos decorrentes de eventual atividade regulamentada;</w:t>
      </w:r>
    </w:p>
    <w:p w14:paraId="48F82BD9" w14:textId="77777777" w:rsidR="00B1495E" w:rsidRDefault="00B1495E" w:rsidP="00B1495E">
      <w:pPr>
        <w:suppressLineNumbers/>
        <w:spacing w:line="276" w:lineRule="auto"/>
        <w:jc w:val="both"/>
        <w:rPr>
          <w:rFonts w:asciiTheme="majorHAnsi" w:hAnsiTheme="majorHAnsi" w:cs="Times New Roman"/>
          <w:lang w:val="pt-BR"/>
        </w:rPr>
      </w:pPr>
    </w:p>
    <w:p w14:paraId="4A5AC208" w14:textId="77777777" w:rsidR="00B1495E" w:rsidRDefault="00B1495E" w:rsidP="001A18DB">
      <w:pPr>
        <w:suppressLineNumbers/>
        <w:spacing w:line="276" w:lineRule="auto"/>
        <w:jc w:val="both"/>
        <w:rPr>
          <w:rFonts w:asciiTheme="majorHAnsi" w:hAnsiTheme="majorHAnsi" w:cs="Times New Roman"/>
          <w:lang w:val="pt-BR"/>
        </w:rPr>
      </w:pPr>
    </w:p>
    <w:p w14:paraId="7F56BAB8" w14:textId="77777777" w:rsidR="009B1416" w:rsidRDefault="009B1416" w:rsidP="00E552B6">
      <w:pPr>
        <w:suppressLineNumbers/>
        <w:spacing w:line="276" w:lineRule="auto"/>
        <w:jc w:val="both"/>
        <w:rPr>
          <w:rFonts w:asciiTheme="majorHAnsi" w:hAnsiTheme="majorHAnsi" w:cs="Times New Roman"/>
          <w:b/>
          <w:bCs/>
          <w:lang w:val="pt-BR"/>
        </w:rPr>
      </w:pPr>
    </w:p>
    <w:p w14:paraId="2E62AB8B" w14:textId="77777777" w:rsidR="00B1495E" w:rsidRDefault="00B1495E">
      <w:pPr>
        <w:widowControl/>
        <w:rPr>
          <w:rFonts w:asciiTheme="majorHAnsi" w:hAnsiTheme="majorHAnsi" w:cs="Times New Roman"/>
          <w:b/>
          <w:bCs/>
          <w:lang w:val="pt-BR"/>
        </w:rPr>
      </w:pPr>
      <w:r>
        <w:rPr>
          <w:rFonts w:asciiTheme="majorHAnsi" w:hAnsiTheme="majorHAnsi" w:cs="Times New Roman"/>
          <w:b/>
          <w:bCs/>
          <w:lang w:val="pt-BR"/>
        </w:rPr>
        <w:br w:type="page"/>
      </w:r>
    </w:p>
    <w:p w14:paraId="55272B05" w14:textId="603362D0" w:rsidR="008B36A9" w:rsidRDefault="008B36A9" w:rsidP="00E552B6">
      <w:pPr>
        <w:suppressLineNumbers/>
        <w:spacing w:line="276" w:lineRule="auto"/>
        <w:jc w:val="both"/>
        <w:rPr>
          <w:rFonts w:asciiTheme="majorHAnsi" w:hAnsiTheme="majorHAnsi" w:cs="Times New Roman"/>
          <w:b/>
          <w:bCs/>
          <w:lang w:val="pt-BR"/>
        </w:rPr>
      </w:pPr>
      <w:r w:rsidRPr="008B36A9">
        <w:rPr>
          <w:rFonts w:asciiTheme="majorHAnsi" w:hAnsiTheme="majorHAnsi" w:cs="Times New Roman"/>
          <w:b/>
          <w:bCs/>
          <w:lang w:val="pt-BR"/>
        </w:rPr>
        <w:lastRenderedPageBreak/>
        <w:t>DELIBEROU</w:t>
      </w:r>
    </w:p>
    <w:p w14:paraId="7CA8FED4" w14:textId="77777777" w:rsidR="001A18DB" w:rsidRDefault="001A18DB" w:rsidP="00E552B6">
      <w:pPr>
        <w:suppressLineNumbers/>
        <w:spacing w:line="276" w:lineRule="auto"/>
        <w:jc w:val="both"/>
        <w:rPr>
          <w:rFonts w:asciiTheme="majorHAnsi" w:hAnsiTheme="majorHAnsi" w:cs="Times New Roman"/>
          <w:b/>
          <w:bCs/>
          <w:lang w:val="pt-BR"/>
        </w:rPr>
      </w:pPr>
    </w:p>
    <w:p w14:paraId="3E4D177E" w14:textId="77777777" w:rsidR="001A18DB" w:rsidRDefault="001A18DB" w:rsidP="001A18DB">
      <w:pPr>
        <w:suppressLineNumbers/>
        <w:spacing w:line="276" w:lineRule="auto"/>
        <w:jc w:val="both"/>
        <w:rPr>
          <w:rFonts w:asciiTheme="majorHAnsi" w:hAnsiTheme="majorHAnsi" w:cs="Times New Roman"/>
          <w:lang w:val="pt-BR"/>
        </w:rPr>
      </w:pPr>
      <w:r>
        <w:rPr>
          <w:rFonts w:asciiTheme="majorHAnsi" w:hAnsiTheme="majorHAnsi" w:cs="Times New Roman"/>
          <w:lang w:val="pt-BR"/>
        </w:rPr>
        <w:t>Manifestar-se sobre a matéria em tela, no sentido de:</w:t>
      </w:r>
    </w:p>
    <w:p w14:paraId="0E2CE2F7" w14:textId="77777777" w:rsidR="001A18DB" w:rsidRDefault="001A18DB" w:rsidP="001A18DB">
      <w:pPr>
        <w:suppressLineNumbers/>
        <w:spacing w:line="276" w:lineRule="auto"/>
        <w:jc w:val="both"/>
        <w:rPr>
          <w:rFonts w:asciiTheme="majorHAnsi" w:hAnsiTheme="majorHAnsi" w:cs="Times New Roman"/>
          <w:lang w:val="pt-BR"/>
        </w:rPr>
      </w:pPr>
    </w:p>
    <w:p w14:paraId="5DA874D6" w14:textId="77777777" w:rsidR="001A18DB" w:rsidRDefault="001A18DB" w:rsidP="00597190">
      <w:pPr>
        <w:pStyle w:val="PargrafodaLista"/>
        <w:numPr>
          <w:ilvl w:val="0"/>
          <w:numId w:val="11"/>
        </w:numPr>
        <w:suppressLineNumbers/>
        <w:spacing w:line="276" w:lineRule="auto"/>
        <w:ind w:left="426" w:hanging="426"/>
        <w:rPr>
          <w:rFonts w:asciiTheme="majorHAnsi" w:hAnsiTheme="majorHAnsi" w:cs="Times New Roman"/>
          <w:lang w:val="pt-BR"/>
        </w:rPr>
      </w:pPr>
      <w:r>
        <w:rPr>
          <w:rFonts w:asciiTheme="majorHAnsi" w:hAnsiTheme="majorHAnsi" w:cs="Times New Roman"/>
          <w:lang w:val="pt-BR"/>
        </w:rPr>
        <w:t>CONHECER DO RECURSO interposto pelo interessado;</w:t>
      </w:r>
    </w:p>
    <w:p w14:paraId="7214FF4A" w14:textId="77777777" w:rsidR="00B1495E" w:rsidRDefault="00B1495E" w:rsidP="00B1495E">
      <w:pPr>
        <w:pStyle w:val="PargrafodaLista"/>
        <w:suppressLineNumbers/>
        <w:spacing w:line="276" w:lineRule="auto"/>
        <w:ind w:left="426"/>
        <w:rPr>
          <w:rFonts w:asciiTheme="majorHAnsi" w:hAnsiTheme="majorHAnsi" w:cs="Times New Roman"/>
          <w:lang w:val="pt-BR"/>
        </w:rPr>
      </w:pPr>
    </w:p>
    <w:p w14:paraId="487B51BC" w14:textId="77777777" w:rsidR="00B1495E" w:rsidRPr="00B1495E" w:rsidRDefault="001A18DB" w:rsidP="00B1495E">
      <w:pPr>
        <w:pStyle w:val="PargrafodaLista"/>
        <w:numPr>
          <w:ilvl w:val="0"/>
          <w:numId w:val="11"/>
        </w:numPr>
        <w:suppressLineNumbers/>
        <w:spacing w:line="276" w:lineRule="auto"/>
        <w:ind w:left="426" w:hanging="426"/>
        <w:rPr>
          <w:rFonts w:asciiTheme="majorHAnsi" w:hAnsiTheme="majorHAnsi" w:cs="Times New Roman"/>
          <w:lang w:val="pt-BR"/>
        </w:rPr>
      </w:pPr>
      <w:r>
        <w:rPr>
          <w:rFonts w:asciiTheme="majorHAnsi" w:hAnsiTheme="majorHAnsi" w:cs="Times New Roman"/>
          <w:lang w:val="pt-BR"/>
        </w:rPr>
        <w:t xml:space="preserve">DAR PROVIMENTO AO RECURSO; acatando a manifestação apresentada, determinando o ARQUIVAMENTO do processo de fiscalização </w:t>
      </w:r>
      <w:r>
        <w:rPr>
          <w:rFonts w:asciiTheme="majorHAnsi" w:hAnsiTheme="majorHAnsi" w:cs="Times New Roman"/>
          <w:sz w:val="21"/>
          <w:szCs w:val="21"/>
          <w:lang w:val="pt-BR"/>
        </w:rPr>
        <w:t>1000124209/2021.</w:t>
      </w:r>
    </w:p>
    <w:p w14:paraId="7517B961" w14:textId="77777777" w:rsidR="00B1495E" w:rsidRPr="00B1495E" w:rsidRDefault="00B1495E" w:rsidP="00B1495E">
      <w:pPr>
        <w:pStyle w:val="PargrafodaLista"/>
        <w:rPr>
          <w:rFonts w:asciiTheme="majorHAnsi" w:hAnsiTheme="majorHAnsi" w:cs="Times New Roman"/>
          <w:lang w:val="pt-BR"/>
        </w:rPr>
      </w:pPr>
    </w:p>
    <w:p w14:paraId="08FB11C0" w14:textId="141067A6" w:rsidR="00DF7A74" w:rsidRDefault="00B1495E" w:rsidP="00B1495E">
      <w:pPr>
        <w:pStyle w:val="PargrafodaLista"/>
        <w:numPr>
          <w:ilvl w:val="0"/>
          <w:numId w:val="11"/>
        </w:numPr>
        <w:suppressLineNumbers/>
        <w:spacing w:line="276" w:lineRule="auto"/>
        <w:ind w:left="426" w:hanging="426"/>
        <w:rPr>
          <w:rFonts w:asciiTheme="majorHAnsi" w:hAnsiTheme="majorHAnsi" w:cs="Times New Roman"/>
          <w:lang w:val="pt-BR"/>
        </w:rPr>
      </w:pPr>
      <w:r w:rsidRPr="00B1495E">
        <w:rPr>
          <w:rFonts w:asciiTheme="majorHAnsi" w:hAnsiTheme="majorHAnsi" w:cs="Times New Roman"/>
          <w:lang w:val="pt-BR"/>
        </w:rPr>
        <w:t xml:space="preserve">Remeter </w:t>
      </w:r>
      <w:r>
        <w:rPr>
          <w:rFonts w:asciiTheme="majorHAnsi" w:hAnsiTheme="majorHAnsi" w:cs="Times New Roman"/>
          <w:lang w:val="pt-BR"/>
        </w:rPr>
        <w:t>est</w:t>
      </w:r>
      <w:r w:rsidRPr="00B1495E">
        <w:rPr>
          <w:rFonts w:asciiTheme="majorHAnsi" w:hAnsiTheme="majorHAnsi" w:cs="Times New Roman"/>
          <w:lang w:val="pt-BR"/>
        </w:rPr>
        <w:t xml:space="preserve">a decisão ao </w:t>
      </w:r>
      <w:r>
        <w:rPr>
          <w:rFonts w:asciiTheme="majorHAnsi" w:hAnsiTheme="majorHAnsi" w:cs="Times New Roman"/>
          <w:lang w:val="pt-BR"/>
        </w:rPr>
        <w:t xml:space="preserve">Coordenação de Fiscalização do </w:t>
      </w:r>
      <w:r w:rsidRPr="00B1495E">
        <w:rPr>
          <w:rFonts w:asciiTheme="majorHAnsi" w:hAnsiTheme="majorHAnsi" w:cs="Times New Roman"/>
          <w:lang w:val="pt-BR"/>
        </w:rPr>
        <w:t>Conselho de Arquitetura e Urbanismo de Minas Gerais</w:t>
      </w:r>
      <w:r>
        <w:rPr>
          <w:rFonts w:asciiTheme="majorHAnsi" w:hAnsiTheme="majorHAnsi" w:cs="Times New Roman"/>
          <w:lang w:val="pt-BR"/>
        </w:rPr>
        <w:t>, para as providências cabíveis.</w:t>
      </w:r>
    </w:p>
    <w:p w14:paraId="48D7DF91" w14:textId="77777777" w:rsidR="00DE0838" w:rsidRPr="00DE0838" w:rsidRDefault="00DE0838" w:rsidP="00DE0838">
      <w:pPr>
        <w:pStyle w:val="PargrafodaLista"/>
        <w:rPr>
          <w:rFonts w:asciiTheme="majorHAnsi" w:hAnsiTheme="majorHAnsi" w:cs="Times New Roman"/>
          <w:lang w:val="pt-BR"/>
        </w:rPr>
      </w:pPr>
    </w:p>
    <w:p w14:paraId="0F86FE56" w14:textId="77777777" w:rsidR="00DE0838" w:rsidRPr="00B1495E" w:rsidRDefault="00DE0838" w:rsidP="00DE0838">
      <w:pPr>
        <w:pStyle w:val="PargrafodaLista"/>
        <w:suppressLineNumbers/>
        <w:spacing w:line="276" w:lineRule="auto"/>
        <w:ind w:left="426"/>
        <w:rPr>
          <w:rFonts w:asciiTheme="majorHAnsi" w:hAnsiTheme="majorHAnsi" w:cs="Times New Roman"/>
          <w:lang w:val="pt-BR"/>
        </w:rPr>
      </w:pPr>
    </w:p>
    <w:p w14:paraId="3A981601" w14:textId="66CBBEA9" w:rsidR="002E570A" w:rsidRDefault="002E570A" w:rsidP="00E552B6">
      <w:pPr>
        <w:suppressLineNumbers/>
        <w:spacing w:line="276" w:lineRule="auto"/>
        <w:jc w:val="right"/>
        <w:rPr>
          <w:rFonts w:asciiTheme="majorHAnsi" w:hAnsiTheme="majorHAnsi" w:cs="Times New Roman"/>
          <w:lang w:val="pt-BR"/>
        </w:rPr>
      </w:pPr>
      <w:r>
        <w:rPr>
          <w:rFonts w:asciiTheme="majorHAnsi" w:hAnsiTheme="majorHAnsi" w:cs="Times New Roman"/>
          <w:lang w:val="pt-BR"/>
        </w:rPr>
        <w:t xml:space="preserve">Belo Horizonte, </w:t>
      </w:r>
      <w:r w:rsidR="00D55189">
        <w:rPr>
          <w:rFonts w:asciiTheme="majorHAnsi" w:hAnsiTheme="majorHAnsi" w:cs="Times New Roman"/>
          <w:lang w:val="pt-BR"/>
        </w:rPr>
        <w:t>21 de junho</w:t>
      </w:r>
      <w:r w:rsidR="00D55189" w:rsidRPr="00A77F9F">
        <w:rPr>
          <w:rFonts w:asciiTheme="majorHAnsi" w:hAnsiTheme="majorHAnsi" w:cs="Times New Roman"/>
          <w:lang w:val="pt-BR"/>
        </w:rPr>
        <w:t xml:space="preserve"> </w:t>
      </w:r>
      <w:r>
        <w:rPr>
          <w:rFonts w:asciiTheme="majorHAnsi" w:hAnsiTheme="majorHAnsi" w:cs="Times New Roman"/>
          <w:lang w:val="pt-BR"/>
        </w:rPr>
        <w:t>de 2021.</w:t>
      </w:r>
    </w:p>
    <w:p w14:paraId="17A4C184" w14:textId="77777777" w:rsidR="009C2FC9" w:rsidRDefault="009C2FC9" w:rsidP="009C2FC9">
      <w:pPr>
        <w:rPr>
          <w:sz w:val="20"/>
          <w:szCs w:val="20"/>
          <w:lang w:val="pt-BR"/>
        </w:rPr>
      </w:pPr>
    </w:p>
    <w:tbl>
      <w:tblPr>
        <w:tblStyle w:val="Tabelacomgrade2"/>
        <w:tblW w:w="10188" w:type="dxa"/>
        <w:jc w:val="center"/>
        <w:tblLook w:val="04A0" w:firstRow="1" w:lastRow="0" w:firstColumn="1" w:lastColumn="0" w:noHBand="0" w:noVBand="1"/>
      </w:tblPr>
      <w:tblGrid>
        <w:gridCol w:w="5094"/>
        <w:gridCol w:w="5094"/>
      </w:tblGrid>
      <w:tr w:rsidR="009C2FC9" w:rsidRPr="00FF3F9E" w14:paraId="7DAABB99" w14:textId="77777777" w:rsidTr="00B83CC5">
        <w:trPr>
          <w:trHeight w:val="481"/>
          <w:jc w:val="center"/>
        </w:trPr>
        <w:tc>
          <w:tcPr>
            <w:tcW w:w="10188" w:type="dxa"/>
            <w:gridSpan w:val="2"/>
            <w:tcBorders>
              <w:bottom w:val="single" w:sz="4" w:space="0" w:color="auto"/>
            </w:tcBorders>
            <w:shd w:val="clear" w:color="auto" w:fill="D9D9D9" w:themeFill="background1" w:themeFillShade="D9"/>
            <w:vAlign w:val="center"/>
          </w:tcPr>
          <w:p w14:paraId="26A0B0C8" w14:textId="77777777" w:rsidR="009C2FC9" w:rsidRPr="00035DCC" w:rsidRDefault="009C2FC9" w:rsidP="00B83CC5">
            <w:pPr>
              <w:jc w:val="center"/>
              <w:rPr>
                <w:rFonts w:asciiTheme="majorHAnsi" w:hAnsiTheme="majorHAnsi"/>
                <w:sz w:val="20"/>
                <w:szCs w:val="20"/>
                <w:lang w:val="pt-BR"/>
              </w:rPr>
            </w:pPr>
            <w:r w:rsidRPr="00035DCC">
              <w:rPr>
                <w:rFonts w:asciiTheme="majorHAnsi" w:eastAsia="Calibri" w:hAnsiTheme="majorHAnsi" w:cs="Times New Roman"/>
                <w:b/>
                <w:sz w:val="20"/>
                <w:szCs w:val="20"/>
                <w:lang w:val="pt-BR"/>
              </w:rPr>
              <w:t>COMISSÃO DE EXERCÍCIO PROFISSIONAL DO CAU/MG</w:t>
            </w:r>
          </w:p>
        </w:tc>
      </w:tr>
      <w:tr w:rsidR="009C2FC9" w:rsidRPr="00035DCC" w14:paraId="45BC2D2B" w14:textId="77777777" w:rsidTr="00B83CC5">
        <w:trPr>
          <w:trHeight w:val="481"/>
          <w:jc w:val="center"/>
        </w:trPr>
        <w:tc>
          <w:tcPr>
            <w:tcW w:w="5094" w:type="dxa"/>
            <w:tcBorders>
              <w:top w:val="single" w:sz="4" w:space="0" w:color="auto"/>
              <w:bottom w:val="single" w:sz="4" w:space="0" w:color="auto"/>
            </w:tcBorders>
            <w:shd w:val="clear" w:color="auto" w:fill="auto"/>
            <w:vAlign w:val="center"/>
          </w:tcPr>
          <w:p w14:paraId="19EBDFB6" w14:textId="77777777" w:rsidR="009C2FC9" w:rsidRPr="00035DCC" w:rsidRDefault="009C2FC9" w:rsidP="00B83CC5">
            <w:pPr>
              <w:widowControl/>
              <w:suppressLineNumbers/>
              <w:jc w:val="center"/>
              <w:rPr>
                <w:rFonts w:asciiTheme="majorHAnsi" w:hAnsiTheme="majorHAnsi" w:cs="Times New Roman"/>
                <w:sz w:val="20"/>
                <w:szCs w:val="20"/>
                <w:lang w:val="pt-BR"/>
              </w:rPr>
            </w:pPr>
            <w:r w:rsidRPr="00035DCC">
              <w:rPr>
                <w:rFonts w:asciiTheme="majorHAnsi" w:hAnsiTheme="majorHAnsi" w:cs="Times New Roman"/>
                <w:sz w:val="20"/>
                <w:szCs w:val="20"/>
                <w:lang w:val="pt-BR"/>
              </w:rPr>
              <w:t>CONSELHEIRO(A) ESTADUAL</w:t>
            </w:r>
          </w:p>
        </w:tc>
        <w:tc>
          <w:tcPr>
            <w:tcW w:w="5094" w:type="dxa"/>
            <w:tcBorders>
              <w:top w:val="single" w:sz="4" w:space="0" w:color="auto"/>
              <w:bottom w:val="single" w:sz="4" w:space="0" w:color="auto"/>
            </w:tcBorders>
            <w:shd w:val="clear" w:color="auto" w:fill="auto"/>
            <w:vAlign w:val="center"/>
          </w:tcPr>
          <w:p w14:paraId="08F1F7CD" w14:textId="77777777" w:rsidR="009C2FC9" w:rsidRPr="00035DCC" w:rsidRDefault="009C2FC9" w:rsidP="00B83CC5">
            <w:pPr>
              <w:jc w:val="center"/>
              <w:rPr>
                <w:rFonts w:asciiTheme="majorHAnsi" w:eastAsia="Calibri" w:hAnsiTheme="majorHAnsi"/>
                <w:sz w:val="20"/>
                <w:szCs w:val="20"/>
                <w:lang w:val="pt-BR"/>
              </w:rPr>
            </w:pPr>
            <w:r w:rsidRPr="00035DCC">
              <w:rPr>
                <w:rFonts w:asciiTheme="majorHAnsi" w:eastAsia="Calibri" w:hAnsiTheme="majorHAnsi"/>
                <w:sz w:val="20"/>
                <w:szCs w:val="20"/>
                <w:lang w:val="pt-BR"/>
              </w:rPr>
              <w:t>ASSINATURA</w:t>
            </w:r>
          </w:p>
        </w:tc>
      </w:tr>
      <w:tr w:rsidR="009C2FC9" w:rsidRPr="00FF3F9E" w14:paraId="08A1B3B7" w14:textId="77777777" w:rsidTr="00B83CC5">
        <w:trPr>
          <w:trHeight w:val="481"/>
          <w:jc w:val="center"/>
        </w:trPr>
        <w:tc>
          <w:tcPr>
            <w:tcW w:w="5094" w:type="dxa"/>
            <w:tcBorders>
              <w:top w:val="single" w:sz="4" w:space="0" w:color="auto"/>
            </w:tcBorders>
            <w:shd w:val="clear" w:color="auto" w:fill="auto"/>
            <w:vAlign w:val="center"/>
          </w:tcPr>
          <w:p w14:paraId="5F1D9F37" w14:textId="77777777" w:rsidR="009C2FC9" w:rsidRDefault="009C2FC9" w:rsidP="00B83CC5">
            <w:pPr>
              <w:rPr>
                <w:rFonts w:asciiTheme="majorHAnsi" w:hAnsiTheme="majorHAnsi" w:cs="Times New Roman"/>
                <w:i/>
                <w:sz w:val="20"/>
                <w:szCs w:val="20"/>
                <w:lang w:val="pt-BR"/>
              </w:rPr>
            </w:pPr>
            <w:r w:rsidRPr="00035DCC">
              <w:rPr>
                <w:rFonts w:asciiTheme="majorHAnsi" w:hAnsiTheme="majorHAnsi" w:cs="Times New Roman"/>
                <w:sz w:val="20"/>
                <w:szCs w:val="20"/>
                <w:lang w:val="pt-BR"/>
              </w:rPr>
              <w:t xml:space="preserve">Fábio Almeida Vieira </w:t>
            </w:r>
            <w:r>
              <w:rPr>
                <w:rFonts w:asciiTheme="majorHAnsi" w:hAnsiTheme="majorHAnsi" w:cs="Times New Roman"/>
                <w:sz w:val="20"/>
                <w:szCs w:val="20"/>
                <w:lang w:val="pt-BR"/>
              </w:rPr>
              <w:t>–</w:t>
            </w:r>
            <w:r w:rsidRPr="00035DCC">
              <w:rPr>
                <w:rFonts w:asciiTheme="majorHAnsi" w:hAnsiTheme="majorHAnsi" w:cs="Times New Roman"/>
                <w:sz w:val="20"/>
                <w:szCs w:val="20"/>
                <w:lang w:val="pt-BR"/>
              </w:rPr>
              <w:t xml:space="preserve"> </w:t>
            </w:r>
            <w:r w:rsidRPr="00035DCC">
              <w:rPr>
                <w:rFonts w:asciiTheme="majorHAnsi" w:hAnsiTheme="majorHAnsi" w:cs="Times New Roman"/>
                <w:i/>
                <w:sz w:val="20"/>
                <w:szCs w:val="20"/>
                <w:lang w:val="pt-BR"/>
              </w:rPr>
              <w:t>Coordenador</w:t>
            </w:r>
          </w:p>
          <w:p w14:paraId="0E71DD98" w14:textId="77777777" w:rsidR="009C2FC9" w:rsidRPr="00035DCC"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Pr="00035DCC">
              <w:rPr>
                <w:rFonts w:asciiTheme="majorHAnsi" w:hAnsiTheme="majorHAnsi" w:cs="Times New Roman"/>
                <w:sz w:val="20"/>
                <w:szCs w:val="20"/>
                <w:lang w:val="pt-BR"/>
              </w:rPr>
              <w:t xml:space="preserve"> </w:t>
            </w:r>
            <w:r w:rsidRPr="00035DCC">
              <w:rPr>
                <w:rFonts w:asciiTheme="majorHAnsi" w:hAnsiTheme="majorHAnsi" w:cs="Times New Roman"/>
                <w:sz w:val="18"/>
                <w:szCs w:val="18"/>
                <w:lang w:val="pt-BR"/>
              </w:rPr>
              <w:t>Regina Coeli Gouveia Varella (S)</w:t>
            </w:r>
          </w:p>
        </w:tc>
        <w:tc>
          <w:tcPr>
            <w:tcW w:w="5094" w:type="dxa"/>
            <w:tcBorders>
              <w:top w:val="single" w:sz="4" w:space="0" w:color="auto"/>
            </w:tcBorders>
            <w:shd w:val="clear" w:color="auto" w:fill="auto"/>
            <w:vAlign w:val="center"/>
          </w:tcPr>
          <w:p w14:paraId="414ED72D" w14:textId="77777777" w:rsidR="009C2FC9" w:rsidRPr="00035DCC" w:rsidRDefault="009C2FC9" w:rsidP="00B83CC5">
            <w:pPr>
              <w:rPr>
                <w:rFonts w:asciiTheme="majorHAnsi" w:eastAsia="Calibri" w:hAnsiTheme="majorHAnsi"/>
                <w:sz w:val="20"/>
                <w:szCs w:val="20"/>
                <w:lang w:val="pt-BR"/>
              </w:rPr>
            </w:pPr>
          </w:p>
        </w:tc>
      </w:tr>
      <w:tr w:rsidR="009C2FC9" w:rsidRPr="00FF3F9E" w14:paraId="67D5CC77" w14:textId="77777777" w:rsidTr="00B83CC5">
        <w:trPr>
          <w:trHeight w:val="481"/>
          <w:jc w:val="center"/>
        </w:trPr>
        <w:tc>
          <w:tcPr>
            <w:tcW w:w="5094" w:type="dxa"/>
            <w:tcBorders>
              <w:top w:val="single" w:sz="4" w:space="0" w:color="auto"/>
            </w:tcBorders>
            <w:shd w:val="clear" w:color="auto" w:fill="auto"/>
            <w:vAlign w:val="center"/>
          </w:tcPr>
          <w:p w14:paraId="3E782934" w14:textId="77777777" w:rsidR="009C2FC9" w:rsidRDefault="009C2FC9" w:rsidP="00B83CC5">
            <w:pPr>
              <w:rPr>
                <w:rFonts w:asciiTheme="majorHAnsi" w:hAnsiTheme="majorHAnsi" w:cs="Times New Roman"/>
                <w:i/>
                <w:sz w:val="20"/>
                <w:szCs w:val="20"/>
                <w:lang w:val="pt-BR"/>
              </w:rPr>
            </w:pPr>
            <w:r w:rsidRPr="00035DCC">
              <w:rPr>
                <w:rFonts w:asciiTheme="majorHAnsi" w:hAnsiTheme="majorHAnsi" w:cs="Times New Roman"/>
                <w:sz w:val="20"/>
                <w:szCs w:val="20"/>
                <w:lang w:val="pt-BR"/>
              </w:rPr>
              <w:t xml:space="preserve">Lucas Lima Leonel Fonseca - </w:t>
            </w:r>
            <w:r w:rsidRPr="00035DCC">
              <w:rPr>
                <w:rFonts w:asciiTheme="majorHAnsi" w:hAnsiTheme="majorHAnsi" w:cs="Times New Roman"/>
                <w:i/>
                <w:sz w:val="20"/>
                <w:szCs w:val="20"/>
                <w:lang w:val="pt-BR"/>
              </w:rPr>
              <w:t>Coord. Adjunto</w:t>
            </w:r>
          </w:p>
          <w:p w14:paraId="22D192CC" w14:textId="0B43D880" w:rsidR="009C2FC9" w:rsidRPr="00035DCC" w:rsidRDefault="00A20906"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9C2FC9" w:rsidRPr="00035DCC">
              <w:rPr>
                <w:rFonts w:asciiTheme="majorHAnsi" w:hAnsiTheme="majorHAnsi" w:cs="Times New Roman"/>
                <w:sz w:val="20"/>
                <w:szCs w:val="20"/>
                <w:lang w:val="pt-BR"/>
              </w:rPr>
              <w:t xml:space="preserve"> </w:t>
            </w:r>
            <w:r w:rsidR="009C2FC9" w:rsidRPr="00035DCC">
              <w:rPr>
                <w:rFonts w:asciiTheme="majorHAnsi" w:hAnsiTheme="majorHAnsi" w:cs="Times New Roman"/>
                <w:sz w:val="18"/>
                <w:szCs w:val="18"/>
                <w:lang w:val="pt-BR"/>
              </w:rPr>
              <w:t xml:space="preserve">Emmanuelle </w:t>
            </w:r>
            <w:r w:rsidR="009C2FC9">
              <w:rPr>
                <w:rFonts w:asciiTheme="majorHAnsi" w:hAnsiTheme="majorHAnsi" w:cs="Times New Roman"/>
                <w:sz w:val="18"/>
                <w:szCs w:val="18"/>
                <w:lang w:val="pt-BR"/>
              </w:rPr>
              <w:t>d</w:t>
            </w:r>
            <w:r w:rsidR="009C2FC9" w:rsidRPr="00035DCC">
              <w:rPr>
                <w:rFonts w:asciiTheme="majorHAnsi" w:hAnsiTheme="majorHAnsi" w:cs="Times New Roman"/>
                <w:sz w:val="18"/>
                <w:szCs w:val="18"/>
                <w:lang w:val="pt-BR"/>
              </w:rPr>
              <w:t>e Assis Silveira (S)</w:t>
            </w:r>
          </w:p>
        </w:tc>
        <w:tc>
          <w:tcPr>
            <w:tcW w:w="5094" w:type="dxa"/>
            <w:tcBorders>
              <w:top w:val="single" w:sz="4" w:space="0" w:color="auto"/>
            </w:tcBorders>
            <w:shd w:val="clear" w:color="auto" w:fill="auto"/>
            <w:vAlign w:val="center"/>
          </w:tcPr>
          <w:p w14:paraId="5CF96CF5" w14:textId="77777777" w:rsidR="009C2FC9" w:rsidRPr="00035DCC" w:rsidRDefault="009C2FC9" w:rsidP="00B83CC5">
            <w:pPr>
              <w:rPr>
                <w:rFonts w:asciiTheme="majorHAnsi" w:eastAsia="Calibri" w:hAnsiTheme="majorHAnsi"/>
                <w:sz w:val="20"/>
                <w:szCs w:val="20"/>
                <w:lang w:val="pt-BR"/>
              </w:rPr>
            </w:pPr>
          </w:p>
        </w:tc>
      </w:tr>
      <w:tr w:rsidR="009C2FC9" w:rsidRPr="00FF3F9E" w14:paraId="11273E33" w14:textId="77777777" w:rsidTr="00B83CC5">
        <w:trPr>
          <w:trHeight w:val="481"/>
          <w:jc w:val="center"/>
        </w:trPr>
        <w:tc>
          <w:tcPr>
            <w:tcW w:w="5094" w:type="dxa"/>
            <w:tcBorders>
              <w:top w:val="single" w:sz="4" w:space="0" w:color="auto"/>
            </w:tcBorders>
            <w:shd w:val="clear" w:color="auto" w:fill="auto"/>
            <w:vAlign w:val="center"/>
          </w:tcPr>
          <w:p w14:paraId="1011ECCA" w14:textId="77777777" w:rsidR="009C2FC9"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lang w:val="pt-BR"/>
              </w:rPr>
              <w:t>Ademir Nogueira de Ávila</w:t>
            </w:r>
          </w:p>
          <w:p w14:paraId="1AB5C904" w14:textId="079B3BE6" w:rsidR="009C2FC9" w:rsidRPr="00035DCC"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481F5D">
              <w:rPr>
                <w:rFonts w:asciiTheme="majorHAnsi" w:hAnsiTheme="majorHAnsi" w:cs="Times New Roman"/>
                <w:sz w:val="20"/>
                <w:szCs w:val="20"/>
                <w:lang w:val="pt-BR"/>
              </w:rPr>
              <w:t xml:space="preserve"> </w:t>
            </w:r>
            <w:r w:rsidRPr="00035DCC">
              <w:rPr>
                <w:rFonts w:asciiTheme="majorHAnsi" w:hAnsiTheme="majorHAnsi" w:cs="Times New Roman"/>
                <w:sz w:val="18"/>
                <w:szCs w:val="18"/>
                <w:lang w:val="pt-BR"/>
              </w:rPr>
              <w:t>Paulo Victor Yamim Pereira (S)</w:t>
            </w:r>
          </w:p>
        </w:tc>
        <w:tc>
          <w:tcPr>
            <w:tcW w:w="5094" w:type="dxa"/>
            <w:tcBorders>
              <w:top w:val="single" w:sz="4" w:space="0" w:color="auto"/>
            </w:tcBorders>
            <w:shd w:val="clear" w:color="auto" w:fill="auto"/>
            <w:vAlign w:val="center"/>
          </w:tcPr>
          <w:p w14:paraId="4AED6ACE" w14:textId="77777777" w:rsidR="009C2FC9" w:rsidRPr="00035DCC" w:rsidRDefault="009C2FC9" w:rsidP="00B83CC5">
            <w:pPr>
              <w:rPr>
                <w:rFonts w:asciiTheme="majorHAnsi" w:eastAsia="Calibri" w:hAnsiTheme="majorHAnsi"/>
                <w:sz w:val="20"/>
                <w:szCs w:val="20"/>
                <w:lang w:val="pt-BR"/>
              </w:rPr>
            </w:pPr>
          </w:p>
        </w:tc>
      </w:tr>
      <w:tr w:rsidR="009C2FC9" w:rsidRPr="00FF3F9E" w14:paraId="059E5B48" w14:textId="77777777" w:rsidTr="00B83CC5">
        <w:trPr>
          <w:trHeight w:val="481"/>
          <w:jc w:val="center"/>
        </w:trPr>
        <w:tc>
          <w:tcPr>
            <w:tcW w:w="5094" w:type="dxa"/>
            <w:tcBorders>
              <w:top w:val="single" w:sz="4" w:space="0" w:color="auto"/>
            </w:tcBorders>
            <w:shd w:val="clear" w:color="auto" w:fill="auto"/>
            <w:vAlign w:val="center"/>
          </w:tcPr>
          <w:p w14:paraId="2989EA71" w14:textId="77777777" w:rsidR="009C2FC9"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lang w:val="pt-BR"/>
              </w:rPr>
              <w:t>Felipe Colmanetti Moura</w:t>
            </w:r>
          </w:p>
          <w:p w14:paraId="2AF3C892" w14:textId="7F99721D" w:rsidR="009C2FC9" w:rsidRPr="00035DCC"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481F5D">
              <w:rPr>
                <w:rFonts w:asciiTheme="majorHAnsi" w:hAnsiTheme="majorHAnsi" w:cs="Times New Roman"/>
                <w:sz w:val="20"/>
                <w:szCs w:val="20"/>
                <w:lang w:val="pt-BR"/>
              </w:rPr>
              <w:t xml:space="preserve"> </w:t>
            </w:r>
            <w:r w:rsidRPr="00035DCC">
              <w:rPr>
                <w:rFonts w:asciiTheme="majorHAnsi" w:hAnsiTheme="majorHAnsi" w:cs="Times New Roman"/>
                <w:sz w:val="18"/>
                <w:szCs w:val="18"/>
                <w:lang w:val="pt-BR"/>
              </w:rPr>
              <w:t>Thais Ribeiro Curi (S)</w:t>
            </w:r>
          </w:p>
        </w:tc>
        <w:tc>
          <w:tcPr>
            <w:tcW w:w="5094" w:type="dxa"/>
            <w:tcBorders>
              <w:top w:val="single" w:sz="4" w:space="0" w:color="auto"/>
            </w:tcBorders>
            <w:shd w:val="clear" w:color="auto" w:fill="auto"/>
            <w:vAlign w:val="center"/>
          </w:tcPr>
          <w:p w14:paraId="65624282" w14:textId="77777777" w:rsidR="009C2FC9" w:rsidRPr="00035DCC" w:rsidRDefault="009C2FC9" w:rsidP="00B83CC5">
            <w:pPr>
              <w:rPr>
                <w:rFonts w:asciiTheme="majorHAnsi" w:eastAsia="Calibri" w:hAnsiTheme="majorHAnsi"/>
                <w:sz w:val="20"/>
                <w:szCs w:val="20"/>
                <w:lang w:val="pt-BR"/>
              </w:rPr>
            </w:pPr>
          </w:p>
        </w:tc>
      </w:tr>
      <w:tr w:rsidR="009C2FC9" w:rsidRPr="00FF3F9E" w14:paraId="236BD3BA" w14:textId="77777777" w:rsidTr="00B83CC5">
        <w:trPr>
          <w:trHeight w:val="481"/>
          <w:jc w:val="center"/>
        </w:trPr>
        <w:tc>
          <w:tcPr>
            <w:tcW w:w="5094" w:type="dxa"/>
            <w:tcBorders>
              <w:top w:val="single" w:sz="4" w:space="0" w:color="auto"/>
            </w:tcBorders>
            <w:shd w:val="clear" w:color="auto" w:fill="auto"/>
            <w:vAlign w:val="center"/>
          </w:tcPr>
          <w:p w14:paraId="27209BC5" w14:textId="77777777" w:rsidR="009C2FC9" w:rsidRDefault="009C2FC9" w:rsidP="00B83CC5">
            <w:pPr>
              <w:rPr>
                <w:rFonts w:asciiTheme="majorHAnsi" w:hAnsiTheme="majorHAnsi" w:cs="Times New Roman"/>
                <w:sz w:val="20"/>
                <w:szCs w:val="20"/>
                <w:lang w:val="pt-BR"/>
              </w:rPr>
            </w:pPr>
            <w:r w:rsidRPr="00035DCC">
              <w:rPr>
                <w:rFonts w:asciiTheme="majorHAnsi" w:hAnsiTheme="majorHAnsi" w:cs="Times New Roman"/>
                <w:sz w:val="20"/>
                <w:szCs w:val="20"/>
                <w:lang w:val="pt-BR"/>
              </w:rPr>
              <w:t>Rafael Decina Arantes</w:t>
            </w:r>
          </w:p>
          <w:p w14:paraId="29049A67" w14:textId="2EEA9E21" w:rsidR="009C2FC9" w:rsidRPr="00035DCC" w:rsidRDefault="00053CE7" w:rsidP="00B83CC5">
            <w:pPr>
              <w:rPr>
                <w:rFonts w:asciiTheme="majorHAnsi" w:hAnsiTheme="majorHAnsi" w:cs="Times New Roman"/>
                <w:sz w:val="20"/>
                <w:szCs w:val="20"/>
                <w:lang w:val="pt-BR"/>
              </w:rPr>
            </w:pPr>
            <w:r w:rsidRPr="00035DCC">
              <w:rPr>
                <w:rFonts w:asciiTheme="majorHAnsi" w:hAnsiTheme="majorHAnsi" w:cs="Times New Roman"/>
                <w:sz w:val="20"/>
                <w:szCs w:val="20"/>
              </w:rPr>
              <w:sym w:font="Wingdings" w:char="F06F"/>
            </w:r>
            <w:r w:rsidR="00481F5D">
              <w:rPr>
                <w:rFonts w:asciiTheme="majorHAnsi" w:hAnsiTheme="majorHAnsi" w:cs="Times New Roman"/>
                <w:sz w:val="20"/>
                <w:szCs w:val="20"/>
                <w:lang w:val="pt-BR"/>
              </w:rPr>
              <w:t xml:space="preserve"> </w:t>
            </w:r>
            <w:r w:rsidR="009C2FC9" w:rsidRPr="00035DCC">
              <w:rPr>
                <w:rFonts w:asciiTheme="majorHAnsi" w:hAnsiTheme="majorHAnsi" w:cs="Times New Roman"/>
                <w:sz w:val="18"/>
                <w:szCs w:val="18"/>
                <w:lang w:val="pt-BR"/>
              </w:rPr>
              <w:t>Isabela Stiegert (S)</w:t>
            </w:r>
          </w:p>
        </w:tc>
        <w:tc>
          <w:tcPr>
            <w:tcW w:w="5094" w:type="dxa"/>
            <w:tcBorders>
              <w:top w:val="single" w:sz="4" w:space="0" w:color="auto"/>
            </w:tcBorders>
            <w:shd w:val="clear" w:color="auto" w:fill="auto"/>
            <w:vAlign w:val="center"/>
          </w:tcPr>
          <w:p w14:paraId="30A41FFC" w14:textId="77777777" w:rsidR="009C2FC9" w:rsidRPr="00035DCC" w:rsidRDefault="009C2FC9" w:rsidP="00B83CC5">
            <w:pPr>
              <w:rPr>
                <w:rFonts w:asciiTheme="majorHAnsi" w:eastAsia="Calibri" w:hAnsiTheme="majorHAnsi"/>
                <w:sz w:val="20"/>
                <w:szCs w:val="20"/>
                <w:lang w:val="pt-BR"/>
              </w:rPr>
            </w:pPr>
          </w:p>
        </w:tc>
      </w:tr>
    </w:tbl>
    <w:p w14:paraId="2A056E01" w14:textId="77777777" w:rsidR="009C2FC9" w:rsidRDefault="009C2FC9" w:rsidP="00B26BE0">
      <w:pPr>
        <w:rPr>
          <w:sz w:val="2"/>
          <w:szCs w:val="2"/>
          <w:lang w:val="pt-BR"/>
        </w:rPr>
      </w:pPr>
    </w:p>
    <w:p w14:paraId="5C6E8096" w14:textId="77777777" w:rsidR="00300332" w:rsidRDefault="00300332" w:rsidP="00B26BE0">
      <w:pPr>
        <w:rPr>
          <w:sz w:val="2"/>
          <w:szCs w:val="2"/>
          <w:lang w:val="pt-BR"/>
        </w:rPr>
      </w:pPr>
    </w:p>
    <w:p w14:paraId="6CB4339D" w14:textId="77777777" w:rsidR="00300332" w:rsidRDefault="00300332" w:rsidP="00300332">
      <w:pPr>
        <w:spacing w:line="300" w:lineRule="auto"/>
        <w:jc w:val="both"/>
        <w:rPr>
          <w:rFonts w:asciiTheme="majorHAnsi" w:hAnsiTheme="majorHAnsi" w:cs="Arial"/>
          <w:i/>
          <w:iCs/>
          <w:sz w:val="16"/>
          <w:szCs w:val="16"/>
          <w:lang w:val="pt-BR" w:eastAsia="pt-BR"/>
        </w:rPr>
      </w:pPr>
    </w:p>
    <w:p w14:paraId="3229D1EE" w14:textId="77777777" w:rsidR="006A2716" w:rsidRDefault="006A2716" w:rsidP="006A2716">
      <w:pPr>
        <w:spacing w:line="300" w:lineRule="auto"/>
        <w:jc w:val="both"/>
        <w:rPr>
          <w:rFonts w:asciiTheme="majorHAnsi" w:hAnsiTheme="majorHAnsi" w:cs="Arial"/>
          <w:i/>
          <w:iCs/>
          <w:sz w:val="16"/>
          <w:szCs w:val="16"/>
          <w:lang w:val="pt-BR" w:eastAsia="pt-BR"/>
        </w:rPr>
      </w:pPr>
      <w:r>
        <w:rPr>
          <w:rFonts w:asciiTheme="majorHAnsi" w:hAnsiTheme="majorHAnsi" w:cs="Arial"/>
          <w:i/>
          <w:iCs/>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09677773" w14:textId="77777777" w:rsidR="006A2716" w:rsidRDefault="006A2716" w:rsidP="006A2716">
      <w:pPr>
        <w:spacing w:line="300" w:lineRule="auto"/>
        <w:rPr>
          <w:rFonts w:asciiTheme="majorHAnsi" w:hAnsiTheme="majorHAnsi" w:cs="Arial"/>
          <w:sz w:val="16"/>
          <w:szCs w:val="16"/>
          <w:lang w:val="pt-BR" w:eastAsia="pt-BR"/>
        </w:rPr>
      </w:pPr>
    </w:p>
    <w:p w14:paraId="615E1E0A" w14:textId="77777777" w:rsidR="006A2716" w:rsidRDefault="006A2716" w:rsidP="006A2716">
      <w:pPr>
        <w:spacing w:line="300" w:lineRule="auto"/>
        <w:rPr>
          <w:rFonts w:asciiTheme="majorHAnsi" w:hAnsiTheme="majorHAnsi" w:cs="Arial"/>
          <w:sz w:val="16"/>
          <w:szCs w:val="16"/>
          <w:lang w:val="pt-BR" w:eastAsia="pt-BR"/>
        </w:rPr>
      </w:pPr>
    </w:p>
    <w:p w14:paraId="72B3465D" w14:textId="77777777" w:rsidR="006A2716" w:rsidRDefault="006A2716" w:rsidP="006A2716">
      <w:pPr>
        <w:spacing w:line="300" w:lineRule="auto"/>
        <w:rPr>
          <w:rFonts w:asciiTheme="majorHAnsi" w:hAnsiTheme="majorHAnsi" w:cs="Arial"/>
          <w:sz w:val="16"/>
          <w:szCs w:val="16"/>
          <w:lang w:val="pt-BR" w:eastAsia="pt-BR"/>
        </w:rPr>
      </w:pPr>
    </w:p>
    <w:p w14:paraId="629F4ABB" w14:textId="77777777" w:rsidR="006A2716" w:rsidRDefault="006A2716" w:rsidP="006A2716">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_________________________________________________________________________________</w:t>
      </w:r>
    </w:p>
    <w:p w14:paraId="1402C5F9" w14:textId="77777777" w:rsidR="006A2716" w:rsidRDefault="006A2716" w:rsidP="006A2716">
      <w:pPr>
        <w:spacing w:line="300" w:lineRule="auto"/>
        <w:jc w:val="center"/>
        <w:rPr>
          <w:rFonts w:asciiTheme="majorHAnsi" w:hAnsiTheme="majorHAnsi" w:cs="Arial"/>
          <w:szCs w:val="20"/>
          <w:lang w:val="pt-BR" w:eastAsia="pt-BR"/>
        </w:rPr>
      </w:pPr>
      <w:r>
        <w:rPr>
          <w:rFonts w:asciiTheme="majorHAnsi" w:hAnsiTheme="majorHAnsi" w:cs="Arial"/>
          <w:szCs w:val="20"/>
          <w:lang w:val="pt-BR" w:eastAsia="pt-BR"/>
        </w:rPr>
        <w:t>Tadeu Araújo de Souza Santos</w:t>
      </w:r>
    </w:p>
    <w:p w14:paraId="4971935C" w14:textId="77777777" w:rsidR="006A2716" w:rsidRDefault="006A2716" w:rsidP="006A2716">
      <w:pPr>
        <w:spacing w:line="300" w:lineRule="auto"/>
        <w:jc w:val="center"/>
        <w:rPr>
          <w:rFonts w:asciiTheme="majorHAnsi" w:hAnsiTheme="majorHAnsi" w:cs="Arial"/>
          <w:sz w:val="18"/>
          <w:szCs w:val="16"/>
          <w:lang w:val="pt-BR" w:eastAsia="pt-BR"/>
        </w:rPr>
      </w:pPr>
      <w:r>
        <w:rPr>
          <w:rFonts w:asciiTheme="majorHAnsi" w:hAnsiTheme="majorHAnsi" w:cs="Arial"/>
          <w:sz w:val="18"/>
          <w:szCs w:val="16"/>
          <w:lang w:val="pt-BR" w:eastAsia="pt-BR"/>
        </w:rPr>
        <w:t>Arquiteto Analista – Assessor Técnico</w:t>
      </w:r>
    </w:p>
    <w:p w14:paraId="252F0937" w14:textId="77777777" w:rsidR="006A2716" w:rsidRDefault="006A2716" w:rsidP="006A2716">
      <w:pPr>
        <w:spacing w:line="300" w:lineRule="auto"/>
        <w:jc w:val="center"/>
        <w:rPr>
          <w:rFonts w:asciiTheme="majorHAnsi" w:hAnsiTheme="majorHAnsi" w:cs="Arial"/>
          <w:sz w:val="18"/>
          <w:szCs w:val="16"/>
          <w:lang w:val="pt-BR" w:eastAsia="pt-BR"/>
        </w:rPr>
      </w:pPr>
      <w:r>
        <w:rPr>
          <w:rFonts w:asciiTheme="majorHAnsi" w:hAnsiTheme="majorHAnsi" w:cs="Arial"/>
          <w:sz w:val="18"/>
          <w:szCs w:val="16"/>
          <w:lang w:val="pt-BR" w:eastAsia="pt-BR"/>
        </w:rPr>
        <w:t>Comissão de Exercício Profissional – CEP-CAU/MG</w:t>
      </w:r>
    </w:p>
    <w:p w14:paraId="1647E4D1" w14:textId="77777777" w:rsidR="00300332" w:rsidRPr="00891FB1" w:rsidRDefault="00300332" w:rsidP="00B26BE0">
      <w:pPr>
        <w:rPr>
          <w:sz w:val="2"/>
          <w:szCs w:val="2"/>
          <w:lang w:val="pt-BR"/>
        </w:rPr>
      </w:pPr>
      <w:bookmarkStart w:id="0" w:name="_GoBack"/>
      <w:bookmarkEnd w:id="0"/>
    </w:p>
    <w:sectPr w:rsidR="00300332" w:rsidRPr="00891FB1">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E2598" w14:textId="77777777" w:rsidR="0063036D" w:rsidRDefault="0063036D">
      <w:r>
        <w:separator/>
      </w:r>
    </w:p>
  </w:endnote>
  <w:endnote w:type="continuationSeparator" w:id="0">
    <w:p w14:paraId="15D0F013" w14:textId="77777777" w:rsidR="0063036D" w:rsidRDefault="0063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B3CFB" w14:textId="77777777" w:rsidR="0063036D" w:rsidRDefault="0063036D">
      <w:r>
        <w:separator/>
      </w:r>
    </w:p>
  </w:footnote>
  <w:footnote w:type="continuationSeparator" w:id="0">
    <w:p w14:paraId="5C49F0BC" w14:textId="77777777" w:rsidR="0063036D" w:rsidRDefault="00630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EB34C7E"/>
    <w:multiLevelType w:val="multilevel"/>
    <w:tmpl w:val="E6887128"/>
    <w:lvl w:ilvl="0">
      <w:start w:val="1"/>
      <w:numFmt w:val="decimal"/>
      <w:lvlText w:val="%1."/>
      <w:lvlJc w:val="left"/>
      <w:pPr>
        <w:ind w:left="1998" w:hanging="360"/>
      </w:pPr>
      <w:rPr>
        <w:rFonts w:hint="default"/>
      </w:rPr>
    </w:lvl>
    <w:lvl w:ilvl="1">
      <w:start w:val="1"/>
      <w:numFmt w:val="decimal"/>
      <w:isLgl/>
      <w:lvlText w:val="%1.%2."/>
      <w:lvlJc w:val="left"/>
      <w:pPr>
        <w:ind w:left="2424"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916" w:hanging="1080"/>
      </w:pPr>
      <w:rPr>
        <w:rFonts w:hint="default"/>
      </w:rPr>
    </w:lvl>
    <w:lvl w:ilvl="4">
      <w:start w:val="1"/>
      <w:numFmt w:val="decimal"/>
      <w:isLgl/>
      <w:lvlText w:val="%1.%2.%3.%4.%5."/>
      <w:lvlJc w:val="left"/>
      <w:pPr>
        <w:ind w:left="2982" w:hanging="1080"/>
      </w:pPr>
      <w:rPr>
        <w:rFonts w:hint="default"/>
      </w:rPr>
    </w:lvl>
    <w:lvl w:ilvl="5">
      <w:start w:val="1"/>
      <w:numFmt w:val="decimal"/>
      <w:isLgl/>
      <w:lvlText w:val="%1.%2.%3.%4.%5.%6."/>
      <w:lvlJc w:val="left"/>
      <w:pPr>
        <w:ind w:left="3408" w:hanging="1440"/>
      </w:pPr>
      <w:rPr>
        <w:rFonts w:hint="default"/>
      </w:rPr>
    </w:lvl>
    <w:lvl w:ilvl="6">
      <w:start w:val="1"/>
      <w:numFmt w:val="decimal"/>
      <w:isLgl/>
      <w:lvlText w:val="%1.%2.%3.%4.%5.%6.%7."/>
      <w:lvlJc w:val="left"/>
      <w:pPr>
        <w:ind w:left="3474" w:hanging="1440"/>
      </w:pPr>
      <w:rPr>
        <w:rFonts w:hint="default"/>
      </w:rPr>
    </w:lvl>
    <w:lvl w:ilvl="7">
      <w:start w:val="1"/>
      <w:numFmt w:val="decimal"/>
      <w:isLgl/>
      <w:lvlText w:val="%1.%2.%3.%4.%5.%6.%7.%8."/>
      <w:lvlJc w:val="left"/>
      <w:pPr>
        <w:ind w:left="3900" w:hanging="1800"/>
      </w:pPr>
      <w:rPr>
        <w:rFonts w:hint="default"/>
      </w:rPr>
    </w:lvl>
    <w:lvl w:ilvl="8">
      <w:start w:val="1"/>
      <w:numFmt w:val="decimal"/>
      <w:isLgl/>
      <w:lvlText w:val="%1.%2.%3.%4.%5.%6.%7.%8.%9."/>
      <w:lvlJc w:val="left"/>
      <w:pPr>
        <w:ind w:left="3966" w:hanging="1800"/>
      </w:pPr>
      <w:rPr>
        <w:rFonts w:hint="default"/>
      </w:rPr>
    </w:lvl>
  </w:abstractNum>
  <w:abstractNum w:abstractNumId="6"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3D744D"/>
    <w:multiLevelType w:val="hybridMultilevel"/>
    <w:tmpl w:val="E048BB1E"/>
    <w:lvl w:ilvl="0" w:tplc="BC045E5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3" w15:restartNumberingAfterBreak="0">
    <w:nsid w:val="79144753"/>
    <w:multiLevelType w:val="hybridMultilevel"/>
    <w:tmpl w:val="9AF42392"/>
    <w:lvl w:ilvl="0" w:tplc="30720412">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9"/>
  </w:num>
  <w:num w:numId="2">
    <w:abstractNumId w:val="12"/>
  </w:num>
  <w:num w:numId="3">
    <w:abstractNumId w:val="6"/>
  </w:num>
  <w:num w:numId="4">
    <w:abstractNumId w:val="11"/>
  </w:num>
  <w:num w:numId="5">
    <w:abstractNumId w:val="4"/>
  </w:num>
  <w:num w:numId="6">
    <w:abstractNumId w:val="7"/>
  </w:num>
  <w:num w:numId="7">
    <w:abstractNumId w:val="0"/>
  </w:num>
  <w:num w:numId="8">
    <w:abstractNumId w:val="10"/>
  </w:num>
  <w:num w:numId="9">
    <w:abstractNumId w:val="3"/>
  </w:num>
  <w:num w:numId="10">
    <w:abstractNumId w:val="2"/>
  </w:num>
  <w:num w:numId="11">
    <w:abstractNumId w:val="5"/>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172AD"/>
    <w:rsid w:val="00034EDE"/>
    <w:rsid w:val="00035DCC"/>
    <w:rsid w:val="00042ECB"/>
    <w:rsid w:val="00053CE7"/>
    <w:rsid w:val="000B24B8"/>
    <w:rsid w:val="000D5801"/>
    <w:rsid w:val="000E60E2"/>
    <w:rsid w:val="000F056F"/>
    <w:rsid w:val="00105EC1"/>
    <w:rsid w:val="001104D7"/>
    <w:rsid w:val="00113090"/>
    <w:rsid w:val="001318DD"/>
    <w:rsid w:val="001618BE"/>
    <w:rsid w:val="0017578F"/>
    <w:rsid w:val="001A18DB"/>
    <w:rsid w:val="001A4779"/>
    <w:rsid w:val="001C01D8"/>
    <w:rsid w:val="001F4D90"/>
    <w:rsid w:val="00212507"/>
    <w:rsid w:val="00216FDA"/>
    <w:rsid w:val="002429D1"/>
    <w:rsid w:val="002A57A5"/>
    <w:rsid w:val="002E570A"/>
    <w:rsid w:val="002E6385"/>
    <w:rsid w:val="002F7309"/>
    <w:rsid w:val="00300332"/>
    <w:rsid w:val="00330D38"/>
    <w:rsid w:val="00332118"/>
    <w:rsid w:val="003403DC"/>
    <w:rsid w:val="00347790"/>
    <w:rsid w:val="003526E8"/>
    <w:rsid w:val="003574F9"/>
    <w:rsid w:val="0037114A"/>
    <w:rsid w:val="003A27F6"/>
    <w:rsid w:val="003C1025"/>
    <w:rsid w:val="003D67E5"/>
    <w:rsid w:val="004019BC"/>
    <w:rsid w:val="00475E5D"/>
    <w:rsid w:val="00481423"/>
    <w:rsid w:val="00481F5D"/>
    <w:rsid w:val="004A5592"/>
    <w:rsid w:val="004C4D47"/>
    <w:rsid w:val="004D1DF5"/>
    <w:rsid w:val="005202A3"/>
    <w:rsid w:val="00594489"/>
    <w:rsid w:val="00597190"/>
    <w:rsid w:val="005C5290"/>
    <w:rsid w:val="0061502B"/>
    <w:rsid w:val="006232E4"/>
    <w:rsid w:val="0063036D"/>
    <w:rsid w:val="00655AD6"/>
    <w:rsid w:val="0066517D"/>
    <w:rsid w:val="00681633"/>
    <w:rsid w:val="00682E97"/>
    <w:rsid w:val="00686D15"/>
    <w:rsid w:val="00692726"/>
    <w:rsid w:val="006A2716"/>
    <w:rsid w:val="006B1141"/>
    <w:rsid w:val="006D28CA"/>
    <w:rsid w:val="006E6D2D"/>
    <w:rsid w:val="0071553F"/>
    <w:rsid w:val="00720A3D"/>
    <w:rsid w:val="00760253"/>
    <w:rsid w:val="00761C87"/>
    <w:rsid w:val="007958C6"/>
    <w:rsid w:val="007C5270"/>
    <w:rsid w:val="007E0B0E"/>
    <w:rsid w:val="007F1BD0"/>
    <w:rsid w:val="00821754"/>
    <w:rsid w:val="00845619"/>
    <w:rsid w:val="008724F5"/>
    <w:rsid w:val="00891FB1"/>
    <w:rsid w:val="008B36A9"/>
    <w:rsid w:val="008C2600"/>
    <w:rsid w:val="008D6C47"/>
    <w:rsid w:val="008E318E"/>
    <w:rsid w:val="00952E4A"/>
    <w:rsid w:val="009A39AA"/>
    <w:rsid w:val="009A63A9"/>
    <w:rsid w:val="009B1416"/>
    <w:rsid w:val="009B3A08"/>
    <w:rsid w:val="009C1FAC"/>
    <w:rsid w:val="009C2FC9"/>
    <w:rsid w:val="009D124E"/>
    <w:rsid w:val="00A07397"/>
    <w:rsid w:val="00A20906"/>
    <w:rsid w:val="00A760FF"/>
    <w:rsid w:val="00A77F9F"/>
    <w:rsid w:val="00B1495E"/>
    <w:rsid w:val="00B26BE0"/>
    <w:rsid w:val="00B30203"/>
    <w:rsid w:val="00B44E9E"/>
    <w:rsid w:val="00B54373"/>
    <w:rsid w:val="00BB7825"/>
    <w:rsid w:val="00C22179"/>
    <w:rsid w:val="00C5259B"/>
    <w:rsid w:val="00C5443D"/>
    <w:rsid w:val="00C6352D"/>
    <w:rsid w:val="00C73715"/>
    <w:rsid w:val="00CC3AFD"/>
    <w:rsid w:val="00CF2C23"/>
    <w:rsid w:val="00D07860"/>
    <w:rsid w:val="00D15B06"/>
    <w:rsid w:val="00D52AFE"/>
    <w:rsid w:val="00D52DB0"/>
    <w:rsid w:val="00D55189"/>
    <w:rsid w:val="00D673DB"/>
    <w:rsid w:val="00DA7171"/>
    <w:rsid w:val="00DE0838"/>
    <w:rsid w:val="00DE447E"/>
    <w:rsid w:val="00DF7A74"/>
    <w:rsid w:val="00E0000A"/>
    <w:rsid w:val="00E203D1"/>
    <w:rsid w:val="00E20A1C"/>
    <w:rsid w:val="00E32874"/>
    <w:rsid w:val="00E45BA7"/>
    <w:rsid w:val="00E552B6"/>
    <w:rsid w:val="00E72E07"/>
    <w:rsid w:val="00EA0AC1"/>
    <w:rsid w:val="00F00BA5"/>
    <w:rsid w:val="00F11E8A"/>
    <w:rsid w:val="00F17FA6"/>
    <w:rsid w:val="00F41A2B"/>
    <w:rsid w:val="00F96261"/>
    <w:rsid w:val="00FA7D4D"/>
    <w:rsid w:val="00FF3F9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313800267">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55084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1889-C107-4D83-8803-9FFCB95B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558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Tadeu A.S. Santos</cp:lastModifiedBy>
  <cp:revision>10</cp:revision>
  <cp:lastPrinted>2017-05-11T17:11:00Z</cp:lastPrinted>
  <dcterms:created xsi:type="dcterms:W3CDTF">2021-06-29T12:27:00Z</dcterms:created>
  <dcterms:modified xsi:type="dcterms:W3CDTF">2022-07-07T12:51:00Z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