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97631C" w:rsidRPr="00D03897" w14:paraId="15607FA6" w14:textId="77777777" w:rsidTr="00A42EFE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44926C0" w14:textId="781D13C1" w:rsidR="0097631C" w:rsidRPr="00D03897" w:rsidRDefault="0097631C" w:rsidP="00F17DC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RELATÓRIO E VOTO FUNDAMENTADO REFERENTE A </w:t>
            </w:r>
            <w:r w:rsidR="001A20CB">
              <w:rPr>
                <w:rFonts w:asciiTheme="majorHAnsi" w:hAnsiTheme="majorHAnsi" w:cs="Times New Roman"/>
                <w:b/>
                <w:sz w:val="21"/>
                <w:szCs w:val="21"/>
              </w:rPr>
              <w:t>ATIBUIÇÕES PROFISSIONAIS</w:t>
            </w:r>
          </w:p>
        </w:tc>
      </w:tr>
      <w:tr w:rsidR="0097631C" w:rsidRPr="00D03897" w14:paraId="5665C315" w14:textId="77777777" w:rsidTr="00F17DC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320DCC5C" w14:textId="77777777" w:rsidR="0097631C" w:rsidRPr="00D03897" w:rsidRDefault="0097631C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97631C" w:rsidRPr="00D03897" w14:paraId="74034A3F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8F9D86B" w14:textId="136ACD58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3F047E7" w14:textId="226DD6C3" w:rsidR="0097631C" w:rsidRPr="00D03897" w:rsidRDefault="001A20CB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Protocolo SICCAU n° </w:t>
            </w:r>
            <w:r w:rsidRPr="00A4001D">
              <w:rPr>
                <w:rFonts w:asciiTheme="majorHAnsi" w:hAnsiTheme="majorHAnsi"/>
                <w:sz w:val="21"/>
                <w:szCs w:val="21"/>
              </w:rPr>
              <w:t>1</w:t>
            </w:r>
            <w:r w:rsidR="004611BF">
              <w:rPr>
                <w:rFonts w:asciiTheme="majorHAnsi" w:hAnsiTheme="majorHAnsi"/>
                <w:sz w:val="21"/>
                <w:szCs w:val="21"/>
              </w:rPr>
              <w:t>491395</w:t>
            </w:r>
            <w:r w:rsidRPr="00A4001D">
              <w:rPr>
                <w:rFonts w:asciiTheme="majorHAnsi" w:hAnsiTheme="majorHAnsi"/>
                <w:sz w:val="21"/>
                <w:szCs w:val="21"/>
              </w:rPr>
              <w:t>/202</w:t>
            </w:r>
            <w:r w:rsidR="004611BF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97631C" w:rsidRPr="00D03897" w14:paraId="0E202D69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D445137" w14:textId="6AB4FDD5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0EC8E6A" w14:textId="7CF05E7D" w:rsidR="0097631C" w:rsidRPr="00D03897" w:rsidRDefault="004611BF" w:rsidP="00633350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GERÊNCIA TÉCNICA E DE FISCALIZAÇÃO</w:t>
            </w:r>
            <w:r w:rsidR="009E1232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DO CAU/MG</w:t>
            </w:r>
          </w:p>
        </w:tc>
      </w:tr>
      <w:tr w:rsidR="0097631C" w:rsidRPr="00D03897" w14:paraId="1042278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37AD1C4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9CE0929" w14:textId="1D386BA0" w:rsidR="0097631C" w:rsidRPr="00D03897" w:rsidRDefault="0097631C" w:rsidP="00265522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 xml:space="preserve">CONSELHEIRO </w:t>
            </w:r>
            <w:r w:rsidR="006B4834" w:rsidRPr="006B4834">
              <w:rPr>
                <w:rFonts w:asciiTheme="majorHAnsi" w:hAnsiTheme="majorHAnsi" w:cs="Times New Roman"/>
                <w:sz w:val="21"/>
                <w:szCs w:val="21"/>
              </w:rPr>
              <w:t>LUCAS LIMA LEONEL FONSECA</w:t>
            </w:r>
          </w:p>
        </w:tc>
      </w:tr>
      <w:tr w:rsidR="0097631C" w:rsidRPr="00D03897" w14:paraId="769B79F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4F315A9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C92CBA7" w14:textId="15D17CA1" w:rsidR="0097631C" w:rsidRPr="00D03897" w:rsidRDefault="005C18F1" w:rsidP="00B0240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25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/0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/202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2</w:t>
            </w:r>
          </w:p>
        </w:tc>
      </w:tr>
    </w:tbl>
    <w:p w14:paraId="45A2F0B1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HISTÓRICO</w:t>
      </w:r>
    </w:p>
    <w:p w14:paraId="0AE84DAE" w14:textId="65371B83" w:rsidR="009E1232" w:rsidRDefault="0097631C" w:rsidP="009E123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Trata-se </w:t>
      </w:r>
      <w:r w:rsidR="00D80D73">
        <w:rPr>
          <w:rFonts w:asciiTheme="majorHAnsi" w:hAnsiTheme="majorHAnsi" w:cs="Times New Roman"/>
          <w:sz w:val="21"/>
          <w:szCs w:val="21"/>
        </w:rPr>
        <w:t xml:space="preserve">de consulta sobre atribuições profissionais, encaminhada </w:t>
      </w:r>
      <w:r w:rsidR="009E1232">
        <w:rPr>
          <w:rFonts w:asciiTheme="majorHAnsi" w:hAnsiTheme="majorHAnsi" w:cs="Times New Roman"/>
          <w:sz w:val="21"/>
          <w:szCs w:val="21"/>
        </w:rPr>
        <w:t xml:space="preserve">por meio de </w:t>
      </w:r>
      <w:r w:rsidR="009E1232" w:rsidRPr="009E1232">
        <w:rPr>
          <w:rFonts w:asciiTheme="majorHAnsi" w:hAnsiTheme="majorHAnsi" w:cs="Times New Roman"/>
          <w:sz w:val="21"/>
          <w:szCs w:val="21"/>
        </w:rPr>
        <w:t>mensagem eletrônica, datada de</w:t>
      </w:r>
      <w:r w:rsidR="004611BF">
        <w:rPr>
          <w:rFonts w:asciiTheme="majorHAnsi" w:hAnsiTheme="majorHAnsi" w:cs="Times New Roman"/>
          <w:sz w:val="21"/>
          <w:szCs w:val="21"/>
        </w:rPr>
        <w:t xml:space="preserve"> 24</w:t>
      </w:r>
      <w:r w:rsidR="009E1232" w:rsidRPr="009E1232">
        <w:rPr>
          <w:rFonts w:asciiTheme="majorHAnsi" w:hAnsiTheme="majorHAnsi" w:cs="Times New Roman"/>
          <w:sz w:val="21"/>
          <w:szCs w:val="21"/>
        </w:rPr>
        <w:t xml:space="preserve"> de </w:t>
      </w:r>
      <w:r w:rsidR="004611BF">
        <w:rPr>
          <w:rFonts w:asciiTheme="majorHAnsi" w:hAnsiTheme="majorHAnsi" w:cs="Times New Roman"/>
          <w:sz w:val="21"/>
          <w:szCs w:val="21"/>
        </w:rPr>
        <w:t>fevereiro</w:t>
      </w:r>
      <w:r w:rsidR="009E1232" w:rsidRPr="009E1232">
        <w:rPr>
          <w:rFonts w:asciiTheme="majorHAnsi" w:hAnsiTheme="majorHAnsi" w:cs="Times New Roman"/>
          <w:sz w:val="21"/>
          <w:szCs w:val="21"/>
        </w:rPr>
        <w:t xml:space="preserve"> de 202</w:t>
      </w:r>
      <w:r w:rsidR="004611BF">
        <w:rPr>
          <w:rFonts w:asciiTheme="majorHAnsi" w:hAnsiTheme="majorHAnsi" w:cs="Times New Roman"/>
          <w:sz w:val="21"/>
          <w:szCs w:val="21"/>
        </w:rPr>
        <w:t>2</w:t>
      </w:r>
      <w:r w:rsidR="009E1232" w:rsidRPr="009E1232">
        <w:rPr>
          <w:rFonts w:asciiTheme="majorHAnsi" w:hAnsiTheme="majorHAnsi" w:cs="Times New Roman"/>
          <w:sz w:val="21"/>
          <w:szCs w:val="21"/>
        </w:rPr>
        <w:t>, em que a Gerência Técnica do CAU/MG encaminha consulta sobre a atribuição de arquitetos e urbanistas para as atividades abaixo descritas, quais sejam:</w:t>
      </w:r>
    </w:p>
    <w:p w14:paraId="50BDFD3B" w14:textId="77777777" w:rsidR="002B3C8E" w:rsidRDefault="002B3C8E" w:rsidP="004611BF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</w:p>
    <w:p w14:paraId="2B46A899" w14:textId="739C5D8E" w:rsidR="004611BF" w:rsidRPr="004611BF" w:rsidRDefault="009E1232" w:rsidP="004611BF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  <w:r w:rsidRPr="009E1232">
        <w:rPr>
          <w:rFonts w:ascii="Cambria" w:hAnsi="Cambria"/>
          <w:i/>
          <w:color w:val="000000"/>
          <w:sz w:val="21"/>
          <w:szCs w:val="21"/>
        </w:rPr>
        <w:t xml:space="preserve"> “</w:t>
      </w:r>
      <w:r w:rsidR="004611BF" w:rsidRPr="004611BF">
        <w:rPr>
          <w:rFonts w:ascii="Cambria" w:hAnsi="Cambria"/>
          <w:i/>
          <w:color w:val="000000"/>
          <w:sz w:val="21"/>
          <w:szCs w:val="21"/>
        </w:rPr>
        <w:t>Conforme item 1.5.7 - Projeto de instalações elétricas prediais de baixa tensão e item 2.5.7 -</w:t>
      </w:r>
    </w:p>
    <w:p w14:paraId="50BEAF47" w14:textId="77777777" w:rsidR="004611BF" w:rsidRPr="004611BF" w:rsidRDefault="004611BF" w:rsidP="004611BF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  <w:r w:rsidRPr="004611BF">
        <w:rPr>
          <w:rFonts w:ascii="Cambria" w:hAnsi="Cambria"/>
          <w:i/>
          <w:color w:val="000000"/>
          <w:sz w:val="21"/>
          <w:szCs w:val="21"/>
        </w:rPr>
        <w:t xml:space="preserve">execução de instalações elétricas prediais de baixa </w:t>
      </w:r>
      <w:proofErr w:type="gramStart"/>
      <w:r w:rsidRPr="004611BF">
        <w:rPr>
          <w:rFonts w:ascii="Cambria" w:hAnsi="Cambria"/>
          <w:i/>
          <w:color w:val="000000"/>
          <w:sz w:val="21"/>
          <w:szCs w:val="21"/>
        </w:rPr>
        <w:t>tensão ,</w:t>
      </w:r>
      <w:proofErr w:type="gramEnd"/>
      <w:r w:rsidRPr="004611BF">
        <w:rPr>
          <w:rFonts w:ascii="Cambria" w:hAnsi="Cambria"/>
          <w:i/>
          <w:color w:val="000000"/>
          <w:sz w:val="21"/>
          <w:szCs w:val="21"/>
        </w:rPr>
        <w:t xml:space="preserve"> solicito confirmação para instalação de</w:t>
      </w:r>
    </w:p>
    <w:p w14:paraId="60618F10" w14:textId="2B79C41C" w:rsidR="004611BF" w:rsidRDefault="004611BF" w:rsidP="004611BF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  <w:r w:rsidRPr="004611BF">
        <w:rPr>
          <w:rFonts w:ascii="Cambria" w:hAnsi="Cambria"/>
          <w:i/>
          <w:color w:val="000000"/>
          <w:sz w:val="21"/>
          <w:szCs w:val="21"/>
        </w:rPr>
        <w:t>placas fotovoltaicas em residências</w:t>
      </w:r>
      <w:r>
        <w:rPr>
          <w:rFonts w:ascii="Cambria" w:hAnsi="Cambria"/>
          <w:i/>
          <w:color w:val="000000"/>
          <w:sz w:val="21"/>
          <w:szCs w:val="21"/>
        </w:rPr>
        <w:t>”</w:t>
      </w:r>
      <w:r w:rsidRPr="004611BF">
        <w:rPr>
          <w:rFonts w:ascii="Cambria" w:hAnsi="Cambria"/>
          <w:i/>
          <w:color w:val="000000"/>
          <w:sz w:val="21"/>
          <w:szCs w:val="21"/>
        </w:rPr>
        <w:t>.</w:t>
      </w:r>
    </w:p>
    <w:p w14:paraId="189F1DF1" w14:textId="251691B0" w:rsidR="004611BF" w:rsidRPr="004611BF" w:rsidRDefault="004611BF" w:rsidP="004611B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4611BF">
        <w:rPr>
          <w:rFonts w:asciiTheme="majorHAnsi" w:hAnsiTheme="majorHAnsi" w:cs="Times New Roman"/>
          <w:sz w:val="21"/>
          <w:szCs w:val="21"/>
        </w:rPr>
        <w:t>Assunto foi encaminhado à Presidência do CAU/MG, em 11/03/2022, por meio do Memorando n° 013/2022-CAU/MG;</w:t>
      </w:r>
    </w:p>
    <w:p w14:paraId="32F3DF86" w14:textId="7F5718C7" w:rsidR="004611BF" w:rsidRPr="002B3C8E" w:rsidRDefault="004611BF" w:rsidP="002B3C8E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2B3C8E">
        <w:rPr>
          <w:rFonts w:asciiTheme="majorHAnsi" w:hAnsiTheme="majorHAnsi" w:cs="Times New Roman"/>
          <w:sz w:val="21"/>
          <w:szCs w:val="21"/>
        </w:rPr>
        <w:t xml:space="preserve">Assunto foi recebido pela Assessoria Técnica da CEP-CAU/MG, em 12/04/2022, por meio do Protocolo </w:t>
      </w:r>
      <w:proofErr w:type="spellStart"/>
      <w:r w:rsidRPr="002B3C8E">
        <w:rPr>
          <w:rFonts w:asciiTheme="majorHAnsi" w:hAnsiTheme="majorHAnsi" w:cs="Times New Roman"/>
          <w:sz w:val="21"/>
          <w:szCs w:val="21"/>
        </w:rPr>
        <w:t>Siccau</w:t>
      </w:r>
      <w:proofErr w:type="spellEnd"/>
      <w:r w:rsidRPr="002B3C8E">
        <w:rPr>
          <w:rFonts w:asciiTheme="majorHAnsi" w:hAnsiTheme="majorHAnsi" w:cs="Times New Roman"/>
          <w:sz w:val="21"/>
          <w:szCs w:val="21"/>
        </w:rPr>
        <w:t xml:space="preserve"> em epígrafe;</w:t>
      </w:r>
    </w:p>
    <w:p w14:paraId="75226123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LEGAL</w:t>
      </w:r>
    </w:p>
    <w:p w14:paraId="42F575C6" w14:textId="7E99147E" w:rsidR="0097631C" w:rsidRDefault="0097631C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D03897">
        <w:rPr>
          <w:rFonts w:asciiTheme="majorHAnsi" w:hAnsiTheme="majorHAnsi" w:cs="Times New Roman"/>
          <w:sz w:val="21"/>
          <w:szCs w:val="21"/>
        </w:rPr>
        <w:t>CAUs</w:t>
      </w:r>
      <w:proofErr w:type="spellEnd"/>
      <w:r w:rsidRPr="00D03897">
        <w:rPr>
          <w:rFonts w:asciiTheme="majorHAnsi" w:hAnsiTheme="majorHAnsi" w:cs="Times New Roman"/>
          <w:sz w:val="21"/>
          <w:szCs w:val="21"/>
        </w:rPr>
        <w:t>; e dá outras providências;</w:t>
      </w:r>
    </w:p>
    <w:p w14:paraId="51B434A9" w14:textId="522CB49F" w:rsidR="00204C61" w:rsidRDefault="00301364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301364">
        <w:rPr>
          <w:rFonts w:asciiTheme="majorHAnsi" w:hAnsiTheme="majorHAnsi" w:cs="Times New Roman"/>
          <w:sz w:val="21"/>
          <w:szCs w:val="21"/>
        </w:rPr>
        <w:t>Resolução CAU/BR nº 21, de 5 de abril de 2012, que regulamenta o art. 2º da Lei 12.378, de 2010, e tipifica as atividades técnicas de atribuição dos arquitetos e urbanistas para fins de Registro de Responsabilidade Técnica (RRT) no CAU</w:t>
      </w:r>
      <w:r>
        <w:rPr>
          <w:rFonts w:asciiTheme="majorHAnsi" w:hAnsiTheme="majorHAnsi" w:cs="Times New Roman"/>
          <w:sz w:val="21"/>
          <w:szCs w:val="21"/>
        </w:rPr>
        <w:t>;</w:t>
      </w:r>
    </w:p>
    <w:p w14:paraId="3D9A762A" w14:textId="77777777" w:rsidR="005C18F1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>Lei Federal nº 9.784, de 29 de janeiro de 1999, que regula o processo administrativo no âmbito da Administração Pública Federal</w:t>
      </w:r>
      <w:r>
        <w:rPr>
          <w:rFonts w:asciiTheme="majorHAnsi" w:hAnsiTheme="majorHAnsi" w:cs="Times New Roman"/>
          <w:sz w:val="21"/>
          <w:szCs w:val="21"/>
        </w:rPr>
        <w:t>;</w:t>
      </w:r>
    </w:p>
    <w:p w14:paraId="69B410BB" w14:textId="77777777" w:rsidR="005C18F1" w:rsidRPr="00D03897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Resolução CNE/SES n° 02, de 17 de junho de 2010 e suas alterações posteriores, que institui as Diretrizes Curriculares Nacionais dos Cursos de Graduação em Arquitetura e Urbanismo no Brasil.</w:t>
      </w:r>
    </w:p>
    <w:p w14:paraId="744DF873" w14:textId="0397955E" w:rsidR="0097631C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TEMÁTICA</w:t>
      </w:r>
    </w:p>
    <w:p w14:paraId="1F2EBDFA" w14:textId="688AA434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79D16164" w14:textId="3E6D862C" w:rsidR="00517A0C" w:rsidRPr="00517A0C" w:rsidRDefault="00517A0C" w:rsidP="00517A0C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Considerando que o </w:t>
      </w:r>
      <w:r w:rsidRPr="00517A0C">
        <w:rPr>
          <w:rFonts w:asciiTheme="majorHAnsi" w:hAnsiTheme="majorHAnsi" w:cs="Times New Roman"/>
          <w:sz w:val="21"/>
          <w:szCs w:val="21"/>
        </w:rPr>
        <w:t>Parágrafo único</w:t>
      </w:r>
      <w:r>
        <w:rPr>
          <w:rFonts w:asciiTheme="majorHAnsi" w:hAnsiTheme="majorHAnsi" w:cs="Times New Roman"/>
          <w:sz w:val="21"/>
          <w:szCs w:val="21"/>
        </w:rPr>
        <w:t xml:space="preserve"> do </w:t>
      </w:r>
      <w:r w:rsidRPr="00517A0C">
        <w:rPr>
          <w:rFonts w:asciiTheme="majorHAnsi" w:hAnsiTheme="majorHAnsi" w:cs="Times New Roman"/>
          <w:sz w:val="21"/>
          <w:szCs w:val="21"/>
        </w:rPr>
        <w:t>Art. 2º</w:t>
      </w:r>
      <w:r>
        <w:rPr>
          <w:rFonts w:asciiTheme="majorHAnsi" w:hAnsiTheme="majorHAnsi" w:cs="Times New Roman"/>
          <w:sz w:val="21"/>
          <w:szCs w:val="21"/>
        </w:rPr>
        <w:t xml:space="preserve"> da </w:t>
      </w:r>
      <w:r w:rsidRPr="00D80D73">
        <w:rPr>
          <w:rFonts w:asciiTheme="majorHAnsi" w:hAnsiTheme="majorHAnsi" w:cs="Times New Roman"/>
          <w:sz w:val="21"/>
          <w:szCs w:val="21"/>
        </w:rPr>
        <w:t>Lei Federal nº 12.378/2010</w:t>
      </w:r>
      <w:r>
        <w:rPr>
          <w:rFonts w:asciiTheme="majorHAnsi" w:hAnsiTheme="majorHAnsi" w:cs="Times New Roman"/>
          <w:sz w:val="21"/>
          <w:szCs w:val="21"/>
        </w:rPr>
        <w:t>, que dispõe</w:t>
      </w:r>
      <w:r w:rsidRPr="00517A0C">
        <w:rPr>
          <w:rFonts w:asciiTheme="majorHAnsi" w:hAnsiTheme="majorHAnsi" w:cs="Times New Roman"/>
          <w:sz w:val="21"/>
          <w:szCs w:val="21"/>
        </w:rPr>
        <w:t xml:space="preserve"> sobre as atividades e atribuições deste profissional</w:t>
      </w:r>
      <w:r>
        <w:rPr>
          <w:rFonts w:asciiTheme="majorHAnsi" w:hAnsiTheme="majorHAnsi" w:cs="Times New Roman"/>
          <w:sz w:val="21"/>
          <w:szCs w:val="21"/>
        </w:rPr>
        <w:t>,</w:t>
      </w:r>
      <w:r w:rsidRPr="00517A0C">
        <w:rPr>
          <w:rFonts w:asciiTheme="majorHAnsi" w:hAnsiTheme="majorHAnsi" w:cs="Times New Roman"/>
          <w:sz w:val="21"/>
          <w:szCs w:val="21"/>
        </w:rPr>
        <w:t xml:space="preserve"> relaciona </w:t>
      </w:r>
      <w:r>
        <w:rPr>
          <w:rFonts w:asciiTheme="majorHAnsi" w:hAnsiTheme="majorHAnsi" w:cs="Times New Roman"/>
          <w:sz w:val="21"/>
          <w:szCs w:val="21"/>
        </w:rPr>
        <w:t>os</w:t>
      </w:r>
      <w:r w:rsidRPr="00517A0C">
        <w:rPr>
          <w:rFonts w:asciiTheme="majorHAnsi" w:hAnsiTheme="majorHAnsi" w:cs="Times New Roman"/>
          <w:sz w:val="21"/>
          <w:szCs w:val="21"/>
        </w:rPr>
        <w:t xml:space="preserve"> campos de atuação </w:t>
      </w:r>
      <w:r>
        <w:rPr>
          <w:rFonts w:asciiTheme="majorHAnsi" w:hAnsiTheme="majorHAnsi" w:cs="Times New Roman"/>
          <w:sz w:val="21"/>
          <w:szCs w:val="21"/>
        </w:rPr>
        <w:t>profissional</w:t>
      </w:r>
      <w:r w:rsidRPr="00517A0C">
        <w:rPr>
          <w:rFonts w:asciiTheme="majorHAnsi" w:hAnsiTheme="majorHAnsi" w:cs="Times New Roman"/>
          <w:sz w:val="21"/>
          <w:szCs w:val="21"/>
        </w:rPr>
        <w:t>, dentre os quais, destacamos:</w:t>
      </w:r>
    </w:p>
    <w:p w14:paraId="70923ABA" w14:textId="77777777" w:rsidR="00517A0C" w:rsidRDefault="00517A0C" w:rsidP="00517A0C">
      <w:pPr>
        <w:pStyle w:val="TextosemFormatao"/>
        <w:spacing w:line="360" w:lineRule="auto"/>
        <w:jc w:val="both"/>
      </w:pPr>
    </w:p>
    <w:p w14:paraId="371E56B6" w14:textId="2E1B28C1" w:rsidR="002B3C8E" w:rsidRPr="002B3C8E" w:rsidRDefault="002B3C8E" w:rsidP="00517A0C">
      <w:pPr>
        <w:pStyle w:val="TextosemFormatao"/>
        <w:spacing w:line="360" w:lineRule="auto"/>
        <w:ind w:left="709"/>
        <w:jc w:val="both"/>
        <w:rPr>
          <w:rFonts w:asciiTheme="majorHAnsi" w:hAnsiTheme="majorHAnsi"/>
          <w:i/>
          <w:color w:val="000000"/>
          <w:sz w:val="21"/>
          <w:szCs w:val="21"/>
        </w:rPr>
      </w:pPr>
      <w:r w:rsidRPr="002B3C8E">
        <w:rPr>
          <w:rFonts w:asciiTheme="majorHAnsi" w:hAnsiTheme="majorHAnsi"/>
          <w:i/>
          <w:color w:val="000000"/>
          <w:sz w:val="21"/>
          <w:szCs w:val="21"/>
        </w:rPr>
        <w:t>IX - de instalações e equipamentos referentes à arquitetura e urbanismo;</w:t>
      </w:r>
    </w:p>
    <w:p w14:paraId="3B6BCB01" w14:textId="0052D8F4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D771698" w14:textId="77777777" w:rsidR="00AC4BEB" w:rsidRPr="00F67F15" w:rsidRDefault="00AC4BEB" w:rsidP="00AC4BEB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F67F15">
        <w:rPr>
          <w:rFonts w:asciiTheme="majorHAnsi" w:hAnsiTheme="majorHAnsi" w:cs="Times New Roman"/>
          <w:sz w:val="21"/>
          <w:szCs w:val="21"/>
        </w:rPr>
        <w:t>Considerando art. 3º</w:t>
      </w:r>
      <w:r>
        <w:rPr>
          <w:rFonts w:asciiTheme="majorHAnsi" w:hAnsiTheme="majorHAnsi" w:cs="Times New Roman"/>
          <w:sz w:val="21"/>
          <w:szCs w:val="21"/>
        </w:rPr>
        <w:t xml:space="preserve"> da </w:t>
      </w:r>
      <w:r w:rsidRPr="00301364">
        <w:rPr>
          <w:rFonts w:asciiTheme="majorHAnsi" w:hAnsiTheme="majorHAnsi" w:cs="Times New Roman"/>
          <w:sz w:val="21"/>
          <w:szCs w:val="21"/>
        </w:rPr>
        <w:t>Resolução CAU/BR nº 21, de 5 de abril de 2012</w:t>
      </w:r>
      <w:r>
        <w:rPr>
          <w:rFonts w:asciiTheme="majorHAnsi" w:hAnsiTheme="majorHAnsi" w:cs="Times New Roman"/>
          <w:sz w:val="21"/>
          <w:szCs w:val="21"/>
        </w:rPr>
        <w:t>, que detalha</w:t>
      </w:r>
      <w:r w:rsidRPr="00F67F15">
        <w:rPr>
          <w:rFonts w:asciiTheme="majorHAnsi" w:hAnsiTheme="majorHAnsi" w:cs="Times New Roman"/>
          <w:sz w:val="21"/>
          <w:szCs w:val="21"/>
        </w:rPr>
        <w:t xml:space="preserve"> o rol de as atividades técnicas de atribuições profissionais do arquiteto e urbanista para fins de Registro de Responsabilidade Técnica (RRT), dentre os quais, destacamos os itens a seguir:</w:t>
      </w:r>
    </w:p>
    <w:p w14:paraId="228C18B3" w14:textId="77777777" w:rsidR="00F67F15" w:rsidRDefault="00F67F15" w:rsidP="00F67F15">
      <w:pPr>
        <w:pStyle w:val="TextosemFormatao"/>
        <w:spacing w:line="360" w:lineRule="auto"/>
        <w:jc w:val="both"/>
      </w:pPr>
    </w:p>
    <w:p w14:paraId="739C5DF8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sz w:val="21"/>
          <w:szCs w:val="21"/>
        </w:rPr>
        <w:tab/>
      </w: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1.  PROJETO</w:t>
      </w:r>
    </w:p>
    <w:p w14:paraId="086B9764" w14:textId="5170C893" w:rsidR="00F67F15" w:rsidRDefault="002B3C8E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B3C8E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1.5.   INSTALAÇÕES E EQUIPAMENTOS REFERENTES À ARQUITETURA</w:t>
      </w:r>
    </w:p>
    <w:p w14:paraId="6ECB9FA4" w14:textId="71A6733B" w:rsidR="002B3C8E" w:rsidRPr="002B3C8E" w:rsidRDefault="002B3C8E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</w:rPr>
      </w:pPr>
      <w:r w:rsidRPr="002B3C8E">
        <w:rPr>
          <w:rFonts w:asciiTheme="majorHAnsi" w:hAnsiTheme="majorHAnsi"/>
          <w:i/>
          <w:iCs/>
          <w:color w:val="000000"/>
          <w:sz w:val="21"/>
          <w:szCs w:val="21"/>
        </w:rPr>
        <w:t>1.5.7. Projeto de instalações elétricas prediais de baixa tensão;</w:t>
      </w:r>
    </w:p>
    <w:p w14:paraId="7F75C1EF" w14:textId="586ABFB8" w:rsidR="002B3C8E" w:rsidRDefault="002B3C8E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615AE36" w14:textId="4E1E609B" w:rsidR="002B3C8E" w:rsidRPr="00F67F15" w:rsidRDefault="002B3C8E" w:rsidP="002B3C8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sz w:val="21"/>
          <w:szCs w:val="21"/>
        </w:rPr>
        <w:tab/>
      </w:r>
      <w:r>
        <w:rPr>
          <w:rFonts w:asciiTheme="majorHAnsi" w:hAnsiTheme="majorHAnsi"/>
          <w:i/>
          <w:iCs/>
          <w:sz w:val="21"/>
          <w:szCs w:val="21"/>
        </w:rPr>
        <w:t>2</w:t>
      </w: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 xml:space="preserve">.  </w:t>
      </w:r>
      <w:r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EXECUÇÃO</w:t>
      </w:r>
    </w:p>
    <w:p w14:paraId="78C91AB7" w14:textId="77777777" w:rsidR="002B3C8E" w:rsidRDefault="002B3C8E" w:rsidP="002B3C8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B3C8E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1.5.   INSTALAÇÕES E EQUIPAMENTOS REFERENTES À ARQUITETURA</w:t>
      </w:r>
    </w:p>
    <w:p w14:paraId="5612DB29" w14:textId="1257155A" w:rsidR="002B3C8E" w:rsidRPr="002B3C8E" w:rsidRDefault="002B3C8E" w:rsidP="002B3C8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</w:rPr>
      </w:pPr>
      <w:r>
        <w:rPr>
          <w:rFonts w:asciiTheme="majorHAnsi" w:hAnsiTheme="majorHAnsi"/>
          <w:i/>
          <w:iCs/>
          <w:color w:val="000000"/>
          <w:sz w:val="21"/>
          <w:szCs w:val="21"/>
        </w:rPr>
        <w:t>2</w:t>
      </w:r>
      <w:r w:rsidRPr="002B3C8E">
        <w:rPr>
          <w:rFonts w:asciiTheme="majorHAnsi" w:hAnsiTheme="majorHAnsi"/>
          <w:i/>
          <w:iCs/>
          <w:color w:val="000000"/>
          <w:sz w:val="21"/>
          <w:szCs w:val="21"/>
        </w:rPr>
        <w:t xml:space="preserve">.5.7. </w:t>
      </w:r>
      <w:r>
        <w:rPr>
          <w:rFonts w:asciiTheme="majorHAnsi" w:hAnsiTheme="majorHAnsi"/>
          <w:i/>
          <w:iCs/>
          <w:color w:val="000000"/>
          <w:sz w:val="21"/>
          <w:szCs w:val="21"/>
        </w:rPr>
        <w:t>Execução</w:t>
      </w:r>
      <w:r w:rsidRPr="002B3C8E">
        <w:rPr>
          <w:rFonts w:asciiTheme="majorHAnsi" w:hAnsiTheme="majorHAnsi"/>
          <w:i/>
          <w:iCs/>
          <w:color w:val="000000"/>
          <w:sz w:val="21"/>
          <w:szCs w:val="21"/>
        </w:rPr>
        <w:t xml:space="preserve"> de instalações elétricas prediais de baixa tensão;</w:t>
      </w:r>
    </w:p>
    <w:p w14:paraId="4BF3F74B" w14:textId="77777777" w:rsidR="005C18F1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bookmarkStart w:id="0" w:name="_Hlk102569292"/>
      <w:bookmarkStart w:id="1" w:name="_Hlk102567522"/>
      <w:r w:rsidRPr="00D80D73">
        <w:rPr>
          <w:rFonts w:asciiTheme="majorHAnsi" w:hAnsiTheme="majorHAnsi" w:cs="Times New Roman"/>
          <w:sz w:val="21"/>
          <w:szCs w:val="21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bookmarkEnd w:id="0"/>
    <w:p w14:paraId="3BD46536" w14:textId="464A3C36" w:rsidR="005C18F1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Considerando </w:t>
      </w:r>
      <w:bookmarkStart w:id="2" w:name="_Hlk102569273"/>
      <w:r>
        <w:rPr>
          <w:rFonts w:asciiTheme="majorHAnsi" w:hAnsiTheme="majorHAnsi" w:cs="Times New Roman"/>
          <w:sz w:val="21"/>
          <w:szCs w:val="21"/>
        </w:rPr>
        <w:t xml:space="preserve">art. 5° das </w:t>
      </w:r>
      <w:bookmarkEnd w:id="2"/>
      <w:r>
        <w:rPr>
          <w:rFonts w:asciiTheme="majorHAnsi" w:hAnsiTheme="majorHAnsi" w:cs="Times New Roman"/>
          <w:sz w:val="21"/>
          <w:szCs w:val="21"/>
        </w:rPr>
        <w:t>Diretrizes Curriculares Nacionais para os cursos de graduação em Arquitetura e Urbanismo, aprovadas pela Resolução CNE/SES n° 02/2010, que dispõe, grifos nossos:</w:t>
      </w:r>
    </w:p>
    <w:p w14:paraId="27F56599" w14:textId="77777777" w:rsidR="005C18F1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2EFFC043" w14:textId="258A81AB" w:rsidR="005C18F1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Art. 5º O curso de Arquitetura e Urbanismo deverá possibilitar formação profissional que revele, pelo menos, as seguintes competências e habilidades: </w:t>
      </w:r>
    </w:p>
    <w:p w14:paraId="4D9D33D1" w14:textId="31BD8BC7" w:rsidR="00442A2E" w:rsidRPr="006F389E" w:rsidRDefault="00442A2E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(...)</w:t>
      </w:r>
    </w:p>
    <w:p w14:paraId="28F1B65B" w14:textId="4FA81D92" w:rsidR="005C18F1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VII - os conhecimentos especializados para o emprego adequado e econômico dos materiais de construção e das técnicas e sistemas construtivos, para a definição de instalações e equipamentos prediais, para a organização de obras e canteiros e para a implantação de infraestrutura urbana; </w:t>
      </w:r>
    </w:p>
    <w:p w14:paraId="7F83406E" w14:textId="1149029D" w:rsidR="00442A2E" w:rsidRPr="006F389E" w:rsidRDefault="00442A2E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(...)</w:t>
      </w:r>
    </w:p>
    <w:p w14:paraId="41AA85C6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IX - o entendimento das condições climáticas, acústicas, lumínicas e energéticas e o domínio das técnicas apropriadas a elas associadas; </w:t>
      </w:r>
    </w:p>
    <w:bookmarkEnd w:id="1"/>
    <w:p w14:paraId="3157BB02" w14:textId="5766A9DF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58392456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RELATÓRIO</w:t>
      </w:r>
    </w:p>
    <w:p w14:paraId="77B33729" w14:textId="77777777" w:rsidR="001253DF" w:rsidRPr="00774982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31582352" w14:textId="77777777" w:rsidR="001253DF" w:rsidRPr="00774982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lastRenderedPageBreak/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 </w:t>
      </w:r>
    </w:p>
    <w:p w14:paraId="1D4FCB58" w14:textId="77777777" w:rsidR="001253DF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 xml:space="preserve">Desta forma, o profissional de Arquitetura e Urbanismo deve assumir responsabilidades profissionais por atividades que são da sua atribuição, habilidade e competência legal, exclusivamente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774982">
          <w:rPr>
            <w:rFonts w:asciiTheme="majorHAnsi" w:hAnsiTheme="majorHAnsi" w:cs="Times New Roman"/>
            <w:sz w:val="21"/>
            <w:szCs w:val="21"/>
          </w:rPr>
          <w:t>Código de Ética e Disciplina do CAU/BR</w:t>
        </w:r>
      </w:hyperlink>
      <w:r w:rsidRPr="00774982">
        <w:rPr>
          <w:rFonts w:asciiTheme="majorHAnsi" w:hAnsiTheme="majorHAnsi" w:cs="Times New Roman"/>
          <w:sz w:val="21"/>
          <w:szCs w:val="21"/>
        </w:rPr>
        <w:t>. </w:t>
      </w:r>
    </w:p>
    <w:p w14:paraId="14EBEFAF" w14:textId="2ADC0E98" w:rsidR="0097631C" w:rsidRPr="00D03897" w:rsidRDefault="0097631C" w:rsidP="00EB226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VOTO</w:t>
      </w:r>
    </w:p>
    <w:p w14:paraId="5A03DF7B" w14:textId="77777777" w:rsidR="001253DF" w:rsidRPr="00D03897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>Do exposto, encaminho à deliberação da Comissão de Exercício Profissional do CAU/MG o seguinte parecer:</w:t>
      </w:r>
    </w:p>
    <w:p w14:paraId="256EB3C2" w14:textId="69EF493D" w:rsidR="001253DF" w:rsidRPr="001253DF" w:rsidRDefault="00442A2E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Manifestar</w:t>
      </w:r>
      <w:r w:rsidR="001253DF">
        <w:rPr>
          <w:rFonts w:asciiTheme="majorHAnsi" w:hAnsiTheme="majorHAnsi" w:cs="Times New Roman"/>
          <w:sz w:val="21"/>
          <w:szCs w:val="21"/>
        </w:rPr>
        <w:t xml:space="preserve"> entendimento de que, </w:t>
      </w:r>
      <w:r w:rsidR="001253DF" w:rsidRPr="001253DF">
        <w:rPr>
          <w:rFonts w:asciiTheme="majorHAnsi" w:hAnsiTheme="majorHAnsi" w:cs="Times New Roman"/>
          <w:sz w:val="21"/>
          <w:szCs w:val="21"/>
        </w:rPr>
        <w:t xml:space="preserve">conforme disposto nos normativos acima mencionados, o profissional arquiteto e urbanista possui atribuição legal para ser responsável técnico por serviços de </w:t>
      </w:r>
      <w:r>
        <w:rPr>
          <w:rFonts w:asciiTheme="majorHAnsi" w:hAnsiTheme="majorHAnsi" w:cs="Times New Roman"/>
          <w:sz w:val="21"/>
          <w:szCs w:val="21"/>
        </w:rPr>
        <w:t>instalação de placas fotovoltaicas, de baixa tensão, em residências.</w:t>
      </w:r>
    </w:p>
    <w:p w14:paraId="711723A1" w14:textId="22F2D20D" w:rsidR="160CC9FF" w:rsidRPr="001253DF" w:rsidRDefault="160CC9F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</w:p>
    <w:p w14:paraId="428A75B4" w14:textId="03A8B427" w:rsidR="0097631C" w:rsidRPr="00D03897" w:rsidRDefault="001569E9" w:rsidP="00215BE4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Belo Horizonte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, </w:t>
      </w:r>
      <w:r w:rsidR="001253DF">
        <w:rPr>
          <w:rFonts w:asciiTheme="majorHAnsi" w:hAnsiTheme="majorHAnsi" w:cs="Times New Roman"/>
          <w:sz w:val="21"/>
          <w:szCs w:val="21"/>
        </w:rPr>
        <w:t>25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</w:t>
      </w:r>
      <w:r>
        <w:rPr>
          <w:rFonts w:asciiTheme="majorHAnsi" w:hAnsiTheme="majorHAnsi" w:cs="Times New Roman"/>
          <w:sz w:val="21"/>
          <w:szCs w:val="21"/>
        </w:rPr>
        <w:t>abril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202</w:t>
      </w:r>
      <w:r>
        <w:rPr>
          <w:rFonts w:asciiTheme="majorHAnsi" w:hAnsiTheme="majorHAnsi" w:cs="Times New Roman"/>
          <w:sz w:val="21"/>
          <w:szCs w:val="21"/>
        </w:rPr>
        <w:t>2</w:t>
      </w:r>
      <w:r w:rsidR="0097631C" w:rsidRPr="00D03897">
        <w:rPr>
          <w:rFonts w:asciiTheme="majorHAnsi" w:hAnsiTheme="majorHAnsi" w:cs="Times New Roman"/>
          <w:sz w:val="21"/>
          <w:szCs w:val="21"/>
        </w:rPr>
        <w:t>.</w:t>
      </w:r>
    </w:p>
    <w:p w14:paraId="54D25DE5" w14:textId="77777777" w:rsidR="0097631C" w:rsidRPr="00D03897" w:rsidRDefault="0097631C" w:rsidP="00136708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</w:p>
    <w:p w14:paraId="2568FC6D" w14:textId="1BD998CE" w:rsidR="0097631C" w:rsidRDefault="0097631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05C7E30B" w14:textId="605DC60E" w:rsidR="00442A2E" w:rsidRDefault="00442A2E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0883F59C" w14:textId="49721213" w:rsidR="00442A2E" w:rsidRDefault="00442A2E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47A89A18" w14:textId="77777777" w:rsidR="0097631C" w:rsidRPr="00D03897" w:rsidRDefault="0097631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97631C" w:rsidRPr="00D03897" w14:paraId="24E905EF" w14:textId="77777777" w:rsidTr="00136708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C62E9" w14:textId="203DB742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CONSELHEIRO </w:t>
            </w:r>
            <w:r w:rsidR="006B4834" w:rsidRPr="006B4834">
              <w:rPr>
                <w:rFonts w:asciiTheme="majorHAnsi" w:hAnsiTheme="majorHAnsi" w:cs="Times New Roman"/>
                <w:b/>
                <w:sz w:val="21"/>
                <w:szCs w:val="21"/>
              </w:rPr>
              <w:t>LUCAS LIMA LEONEL FONSECA</w:t>
            </w:r>
          </w:p>
          <w:p w14:paraId="03DB5678" w14:textId="77777777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>Arquiteto e urbanista</w:t>
            </w:r>
          </w:p>
          <w:p w14:paraId="1090FA8F" w14:textId="43A5379A" w:rsidR="0097631C" w:rsidRPr="00D03897" w:rsidRDefault="00204C61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Membro titular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 xml:space="preserve"> da Comissão de Exercício Profissional do CAU/MG</w:t>
            </w:r>
          </w:p>
        </w:tc>
      </w:tr>
    </w:tbl>
    <w:p w14:paraId="1A956E54" w14:textId="77777777" w:rsidR="0097631C" w:rsidRPr="00D03897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  <w:sectPr w:rsidR="0097631C" w:rsidRPr="00D03897" w:rsidSect="0097631C">
          <w:headerReference w:type="default" r:id="rId9"/>
          <w:footerReference w:type="default" r:id="rId10"/>
          <w:pgSz w:w="11900" w:h="16840"/>
          <w:pgMar w:top="1418" w:right="1134" w:bottom="851" w:left="1134" w:header="720" w:footer="720" w:gutter="0"/>
          <w:pgNumType w:start="1"/>
          <w:cols w:space="720"/>
        </w:sectPr>
      </w:pPr>
    </w:p>
    <w:p w14:paraId="71B65172" w14:textId="360412BE" w:rsidR="0097631C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p w14:paraId="554FD033" w14:textId="71F311CF" w:rsidR="00FE0BCF" w:rsidRDefault="00FE0BCF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p w14:paraId="1E0F41A7" w14:textId="77777777" w:rsidR="00FE0BCF" w:rsidRDefault="00FE0BCF" w:rsidP="00FE0BC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4A565CC3" w14:textId="77777777" w:rsidR="00FE0BCF" w:rsidRDefault="00FE0BCF" w:rsidP="00FE0BCF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6E318E69" w14:textId="77777777" w:rsidR="00FE0BCF" w:rsidRDefault="00FE0BCF" w:rsidP="00FE0BCF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7E314FB9" w14:textId="77777777" w:rsidR="00FE0BCF" w:rsidRDefault="00FE0BCF" w:rsidP="00FE0BCF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44CC5688" w14:textId="77777777" w:rsidR="00FE0BCF" w:rsidRDefault="00FE0BCF" w:rsidP="00FE0BCF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6E206FA7" w14:textId="77777777" w:rsidR="00FE0BCF" w:rsidRDefault="00FE0BCF" w:rsidP="00FE0BCF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6D68481C" w14:textId="77777777" w:rsidR="00FE0BCF" w:rsidRDefault="00FE0BCF" w:rsidP="00FE0BC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_________________________________________________________________________________</w:t>
      </w:r>
    </w:p>
    <w:p w14:paraId="54A3507C" w14:textId="77777777" w:rsidR="00FE0BCF" w:rsidRDefault="00FE0BCF" w:rsidP="00FE0BC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>
        <w:rPr>
          <w:rFonts w:asciiTheme="majorHAnsi" w:hAnsiTheme="majorHAnsi" w:cs="Arial"/>
          <w:sz w:val="20"/>
          <w:szCs w:val="20"/>
          <w:lang w:eastAsia="pt-BR"/>
        </w:rPr>
        <w:t>Darlan Gonçalves de Oliveira</w:t>
      </w:r>
    </w:p>
    <w:p w14:paraId="185377B2" w14:textId="77777777" w:rsidR="00FE0BCF" w:rsidRDefault="00FE0BCF" w:rsidP="00FE0BC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Arquiteto Analista – Assessor Técnico</w:t>
      </w:r>
    </w:p>
    <w:p w14:paraId="5523A88D" w14:textId="77777777" w:rsidR="00FE0BCF" w:rsidRDefault="00FE0BCF" w:rsidP="00FE0BC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Comissão de Exercício Profissional – CEP-CAU/MG</w:t>
      </w:r>
    </w:p>
    <w:p w14:paraId="14FF37E0" w14:textId="77777777" w:rsidR="00FE0BCF" w:rsidRPr="00D03897" w:rsidRDefault="00FE0BCF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sectPr w:rsidR="00FE0BCF" w:rsidRPr="00D03897" w:rsidSect="0097631C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5859" w14:textId="77777777" w:rsidR="003F12E0" w:rsidRDefault="003F12E0" w:rsidP="007E22C9">
      <w:r>
        <w:separator/>
      </w:r>
    </w:p>
  </w:endnote>
  <w:endnote w:type="continuationSeparator" w:id="0">
    <w:p w14:paraId="569B33ED" w14:textId="77777777" w:rsidR="003F12E0" w:rsidRDefault="003F12E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0243" w14:textId="77777777" w:rsidR="0097631C" w:rsidRDefault="0097631C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AFA6A2F" wp14:editId="63C863F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59E3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BBD644" wp14:editId="7817AA58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DA16" w14:textId="77777777" w:rsidR="003F12E0" w:rsidRDefault="003F12E0" w:rsidP="007E22C9">
      <w:r>
        <w:separator/>
      </w:r>
    </w:p>
  </w:footnote>
  <w:footnote w:type="continuationSeparator" w:id="0">
    <w:p w14:paraId="659AEF62" w14:textId="77777777" w:rsidR="003F12E0" w:rsidRDefault="003F12E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EB8D" w14:textId="77777777" w:rsidR="0097631C" w:rsidRDefault="009763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3E296FA" wp14:editId="56C6FD90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F4E5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B0D5BA" wp14:editId="3003FAD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1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1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1">
    <w:nsid w:val="05042929"/>
    <w:multiLevelType w:val="hybridMultilevel"/>
    <w:tmpl w:val="7B6C6C4E"/>
    <w:lvl w:ilvl="0" w:tplc="295403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1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1">
    <w:nsid w:val="15243364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1">
    <w:nsid w:val="29154CC2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1">
    <w:nsid w:val="2A1775CF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1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1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DAA5620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1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1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1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1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1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1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1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467815845">
    <w:abstractNumId w:val="24"/>
  </w:num>
  <w:num w:numId="2" w16cid:durableId="1147863229">
    <w:abstractNumId w:val="37"/>
  </w:num>
  <w:num w:numId="3" w16cid:durableId="1798983002">
    <w:abstractNumId w:val="6"/>
  </w:num>
  <w:num w:numId="4" w16cid:durableId="614866614">
    <w:abstractNumId w:val="23"/>
  </w:num>
  <w:num w:numId="5" w16cid:durableId="487326800">
    <w:abstractNumId w:val="10"/>
  </w:num>
  <w:num w:numId="6" w16cid:durableId="27722627">
    <w:abstractNumId w:val="4"/>
  </w:num>
  <w:num w:numId="7" w16cid:durableId="1929732818">
    <w:abstractNumId w:val="36"/>
  </w:num>
  <w:num w:numId="8" w16cid:durableId="660079762">
    <w:abstractNumId w:val="1"/>
  </w:num>
  <w:num w:numId="9" w16cid:durableId="816339578">
    <w:abstractNumId w:val="3"/>
  </w:num>
  <w:num w:numId="10" w16cid:durableId="657466739">
    <w:abstractNumId w:val="22"/>
  </w:num>
  <w:num w:numId="11" w16cid:durableId="361244873">
    <w:abstractNumId w:val="34"/>
  </w:num>
  <w:num w:numId="12" w16cid:durableId="888809989">
    <w:abstractNumId w:val="12"/>
  </w:num>
  <w:num w:numId="13" w16cid:durableId="171838815">
    <w:abstractNumId w:val="25"/>
  </w:num>
  <w:num w:numId="14" w16cid:durableId="1990283813">
    <w:abstractNumId w:val="38"/>
  </w:num>
  <w:num w:numId="15" w16cid:durableId="1951350023">
    <w:abstractNumId w:val="16"/>
  </w:num>
  <w:num w:numId="16" w16cid:durableId="383674650">
    <w:abstractNumId w:val="32"/>
  </w:num>
  <w:num w:numId="17" w16cid:durableId="956564528">
    <w:abstractNumId w:val="9"/>
  </w:num>
  <w:num w:numId="18" w16cid:durableId="1837569406">
    <w:abstractNumId w:val="18"/>
  </w:num>
  <w:num w:numId="19" w16cid:durableId="178158959">
    <w:abstractNumId w:val="28"/>
  </w:num>
  <w:num w:numId="20" w16cid:durableId="810556431">
    <w:abstractNumId w:val="15"/>
  </w:num>
  <w:num w:numId="21" w16cid:durableId="904414072">
    <w:abstractNumId w:val="29"/>
  </w:num>
  <w:num w:numId="22" w16cid:durableId="317921285">
    <w:abstractNumId w:val="0"/>
  </w:num>
  <w:num w:numId="23" w16cid:durableId="2022273840">
    <w:abstractNumId w:val="8"/>
  </w:num>
  <w:num w:numId="24" w16cid:durableId="1962835556">
    <w:abstractNumId w:val="35"/>
  </w:num>
  <w:num w:numId="25" w16cid:durableId="1539856456">
    <w:abstractNumId w:val="2"/>
  </w:num>
  <w:num w:numId="26" w16cid:durableId="1172448869">
    <w:abstractNumId w:val="30"/>
  </w:num>
  <w:num w:numId="27" w16cid:durableId="891313383">
    <w:abstractNumId w:val="31"/>
  </w:num>
  <w:num w:numId="28" w16cid:durableId="157884324">
    <w:abstractNumId w:val="27"/>
  </w:num>
  <w:num w:numId="29" w16cid:durableId="912661753">
    <w:abstractNumId w:val="19"/>
  </w:num>
  <w:num w:numId="30" w16cid:durableId="1422263303">
    <w:abstractNumId w:val="21"/>
  </w:num>
  <w:num w:numId="31" w16cid:durableId="282732101">
    <w:abstractNumId w:val="17"/>
  </w:num>
  <w:num w:numId="32" w16cid:durableId="553853221">
    <w:abstractNumId w:val="14"/>
  </w:num>
  <w:num w:numId="33" w16cid:durableId="698045644">
    <w:abstractNumId w:val="26"/>
  </w:num>
  <w:num w:numId="34" w16cid:durableId="1995722583">
    <w:abstractNumId w:val="33"/>
  </w:num>
  <w:num w:numId="35" w16cid:durableId="1667512565">
    <w:abstractNumId w:val="11"/>
  </w:num>
  <w:num w:numId="36" w16cid:durableId="909923224">
    <w:abstractNumId w:val="13"/>
  </w:num>
  <w:num w:numId="37" w16cid:durableId="1776511419">
    <w:abstractNumId w:val="5"/>
  </w:num>
  <w:num w:numId="38" w16cid:durableId="842478157">
    <w:abstractNumId w:val="20"/>
  </w:num>
  <w:num w:numId="39" w16cid:durableId="2128112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044CE"/>
    <w:rsid w:val="00013C89"/>
    <w:rsid w:val="00016547"/>
    <w:rsid w:val="00025318"/>
    <w:rsid w:val="00025C22"/>
    <w:rsid w:val="000464CF"/>
    <w:rsid w:val="00047DD5"/>
    <w:rsid w:val="0005336D"/>
    <w:rsid w:val="00054997"/>
    <w:rsid w:val="000629F5"/>
    <w:rsid w:val="00065AC9"/>
    <w:rsid w:val="000678D0"/>
    <w:rsid w:val="00071625"/>
    <w:rsid w:val="000839FC"/>
    <w:rsid w:val="0008559A"/>
    <w:rsid w:val="000871A5"/>
    <w:rsid w:val="000A259B"/>
    <w:rsid w:val="000B0760"/>
    <w:rsid w:val="000B0EA6"/>
    <w:rsid w:val="000B1835"/>
    <w:rsid w:val="000B7B64"/>
    <w:rsid w:val="000C131F"/>
    <w:rsid w:val="000C1F14"/>
    <w:rsid w:val="000C394E"/>
    <w:rsid w:val="000D6007"/>
    <w:rsid w:val="000E07FB"/>
    <w:rsid w:val="000E4766"/>
    <w:rsid w:val="000F3838"/>
    <w:rsid w:val="000F538A"/>
    <w:rsid w:val="00102BCC"/>
    <w:rsid w:val="00107335"/>
    <w:rsid w:val="00113C1D"/>
    <w:rsid w:val="00113CE6"/>
    <w:rsid w:val="001175CD"/>
    <w:rsid w:val="00117ACF"/>
    <w:rsid w:val="00121E17"/>
    <w:rsid w:val="00123FDC"/>
    <w:rsid w:val="001253DF"/>
    <w:rsid w:val="0013139E"/>
    <w:rsid w:val="00136708"/>
    <w:rsid w:val="00137CC2"/>
    <w:rsid w:val="00143AA6"/>
    <w:rsid w:val="00145F39"/>
    <w:rsid w:val="001569E9"/>
    <w:rsid w:val="00165D28"/>
    <w:rsid w:val="00166964"/>
    <w:rsid w:val="00167BC0"/>
    <w:rsid w:val="00177894"/>
    <w:rsid w:val="001811CC"/>
    <w:rsid w:val="00182E2B"/>
    <w:rsid w:val="00184505"/>
    <w:rsid w:val="001875FA"/>
    <w:rsid w:val="00190734"/>
    <w:rsid w:val="00191438"/>
    <w:rsid w:val="00195AC9"/>
    <w:rsid w:val="001A20CB"/>
    <w:rsid w:val="001A52BC"/>
    <w:rsid w:val="001A63D9"/>
    <w:rsid w:val="001A7EA3"/>
    <w:rsid w:val="001C4F4D"/>
    <w:rsid w:val="001D0B31"/>
    <w:rsid w:val="001D1038"/>
    <w:rsid w:val="001E205C"/>
    <w:rsid w:val="001E790A"/>
    <w:rsid w:val="001F394D"/>
    <w:rsid w:val="001F3E1A"/>
    <w:rsid w:val="001F79A8"/>
    <w:rsid w:val="0020351D"/>
    <w:rsid w:val="00204C61"/>
    <w:rsid w:val="0021111F"/>
    <w:rsid w:val="00215BE4"/>
    <w:rsid w:val="002260AA"/>
    <w:rsid w:val="00226220"/>
    <w:rsid w:val="00235ACE"/>
    <w:rsid w:val="00242E9D"/>
    <w:rsid w:val="002536A7"/>
    <w:rsid w:val="00254A9D"/>
    <w:rsid w:val="00265522"/>
    <w:rsid w:val="00266909"/>
    <w:rsid w:val="002779FC"/>
    <w:rsid w:val="002812A2"/>
    <w:rsid w:val="00281B75"/>
    <w:rsid w:val="0028590F"/>
    <w:rsid w:val="002A23F5"/>
    <w:rsid w:val="002A4495"/>
    <w:rsid w:val="002B3C8E"/>
    <w:rsid w:val="002B4AC9"/>
    <w:rsid w:val="002B7D2B"/>
    <w:rsid w:val="002C1A30"/>
    <w:rsid w:val="002C25BF"/>
    <w:rsid w:val="002C6393"/>
    <w:rsid w:val="002C7838"/>
    <w:rsid w:val="002D3276"/>
    <w:rsid w:val="002E07B7"/>
    <w:rsid w:val="002E4071"/>
    <w:rsid w:val="002E5FCF"/>
    <w:rsid w:val="002E7999"/>
    <w:rsid w:val="00301364"/>
    <w:rsid w:val="003039D1"/>
    <w:rsid w:val="00317974"/>
    <w:rsid w:val="00340B73"/>
    <w:rsid w:val="00340BBE"/>
    <w:rsid w:val="00341D2D"/>
    <w:rsid w:val="00342427"/>
    <w:rsid w:val="00343A33"/>
    <w:rsid w:val="003505D6"/>
    <w:rsid w:val="003508F5"/>
    <w:rsid w:val="0035490B"/>
    <w:rsid w:val="00354BC4"/>
    <w:rsid w:val="00365686"/>
    <w:rsid w:val="0036647B"/>
    <w:rsid w:val="00367758"/>
    <w:rsid w:val="00370790"/>
    <w:rsid w:val="00372F97"/>
    <w:rsid w:val="003858AC"/>
    <w:rsid w:val="00392065"/>
    <w:rsid w:val="003A3415"/>
    <w:rsid w:val="003A7D34"/>
    <w:rsid w:val="003C3452"/>
    <w:rsid w:val="003C6DE1"/>
    <w:rsid w:val="003D331E"/>
    <w:rsid w:val="003D4B64"/>
    <w:rsid w:val="003E6D01"/>
    <w:rsid w:val="003E78BD"/>
    <w:rsid w:val="003F12E0"/>
    <w:rsid w:val="003F4C5D"/>
    <w:rsid w:val="00406108"/>
    <w:rsid w:val="00434835"/>
    <w:rsid w:val="00442A2E"/>
    <w:rsid w:val="004455E5"/>
    <w:rsid w:val="00447239"/>
    <w:rsid w:val="00452713"/>
    <w:rsid w:val="00456FC0"/>
    <w:rsid w:val="004611BF"/>
    <w:rsid w:val="0046656B"/>
    <w:rsid w:val="00472FBB"/>
    <w:rsid w:val="0047363E"/>
    <w:rsid w:val="00477BE7"/>
    <w:rsid w:val="004937BE"/>
    <w:rsid w:val="004A12F5"/>
    <w:rsid w:val="004A255E"/>
    <w:rsid w:val="004A319B"/>
    <w:rsid w:val="004A39B0"/>
    <w:rsid w:val="004A71B1"/>
    <w:rsid w:val="004B146F"/>
    <w:rsid w:val="004C41B8"/>
    <w:rsid w:val="004C50F2"/>
    <w:rsid w:val="004E3576"/>
    <w:rsid w:val="004E375E"/>
    <w:rsid w:val="004E4C07"/>
    <w:rsid w:val="004E5686"/>
    <w:rsid w:val="004E764D"/>
    <w:rsid w:val="004F3A44"/>
    <w:rsid w:val="004F3DA3"/>
    <w:rsid w:val="005019FA"/>
    <w:rsid w:val="00504B83"/>
    <w:rsid w:val="005079D1"/>
    <w:rsid w:val="00513DD0"/>
    <w:rsid w:val="00515CE3"/>
    <w:rsid w:val="005179C9"/>
    <w:rsid w:val="00517A0C"/>
    <w:rsid w:val="00521E0B"/>
    <w:rsid w:val="005225ED"/>
    <w:rsid w:val="00526E03"/>
    <w:rsid w:val="00527032"/>
    <w:rsid w:val="00534EF8"/>
    <w:rsid w:val="00542E03"/>
    <w:rsid w:val="00543310"/>
    <w:rsid w:val="00546CDB"/>
    <w:rsid w:val="005514F9"/>
    <w:rsid w:val="00553288"/>
    <w:rsid w:val="00560D6A"/>
    <w:rsid w:val="00561BF8"/>
    <w:rsid w:val="00562182"/>
    <w:rsid w:val="0056233A"/>
    <w:rsid w:val="005623D2"/>
    <w:rsid w:val="00570E0C"/>
    <w:rsid w:val="0057329D"/>
    <w:rsid w:val="0057329F"/>
    <w:rsid w:val="00581157"/>
    <w:rsid w:val="00590438"/>
    <w:rsid w:val="0059493E"/>
    <w:rsid w:val="0059501F"/>
    <w:rsid w:val="0059662F"/>
    <w:rsid w:val="005A0AFC"/>
    <w:rsid w:val="005A0EAF"/>
    <w:rsid w:val="005C147D"/>
    <w:rsid w:val="005C18F1"/>
    <w:rsid w:val="005C4B72"/>
    <w:rsid w:val="005C60DA"/>
    <w:rsid w:val="005D1468"/>
    <w:rsid w:val="005D15AF"/>
    <w:rsid w:val="005D373A"/>
    <w:rsid w:val="005F31A1"/>
    <w:rsid w:val="005F3D29"/>
    <w:rsid w:val="005F704D"/>
    <w:rsid w:val="00600406"/>
    <w:rsid w:val="00600DD6"/>
    <w:rsid w:val="00601495"/>
    <w:rsid w:val="006207B9"/>
    <w:rsid w:val="00626459"/>
    <w:rsid w:val="00631755"/>
    <w:rsid w:val="00632110"/>
    <w:rsid w:val="00633350"/>
    <w:rsid w:val="00654340"/>
    <w:rsid w:val="0068735C"/>
    <w:rsid w:val="00691667"/>
    <w:rsid w:val="006A0E23"/>
    <w:rsid w:val="006A53B9"/>
    <w:rsid w:val="006A60C1"/>
    <w:rsid w:val="006B35D6"/>
    <w:rsid w:val="006B4834"/>
    <w:rsid w:val="006C121A"/>
    <w:rsid w:val="006C2F92"/>
    <w:rsid w:val="006C4F6D"/>
    <w:rsid w:val="006C5AA6"/>
    <w:rsid w:val="006C7CF0"/>
    <w:rsid w:val="006D1441"/>
    <w:rsid w:val="006D3E06"/>
    <w:rsid w:val="006E41E4"/>
    <w:rsid w:val="006F137E"/>
    <w:rsid w:val="00712340"/>
    <w:rsid w:val="007144F2"/>
    <w:rsid w:val="00715400"/>
    <w:rsid w:val="007156A1"/>
    <w:rsid w:val="00722DB6"/>
    <w:rsid w:val="00722E5D"/>
    <w:rsid w:val="00740DB2"/>
    <w:rsid w:val="00746C87"/>
    <w:rsid w:val="007509AB"/>
    <w:rsid w:val="00754202"/>
    <w:rsid w:val="007718E9"/>
    <w:rsid w:val="0077557C"/>
    <w:rsid w:val="00775760"/>
    <w:rsid w:val="007767A2"/>
    <w:rsid w:val="00776D7E"/>
    <w:rsid w:val="0078576C"/>
    <w:rsid w:val="0079331E"/>
    <w:rsid w:val="00796862"/>
    <w:rsid w:val="00796AAE"/>
    <w:rsid w:val="00796E40"/>
    <w:rsid w:val="007A228B"/>
    <w:rsid w:val="007B26D1"/>
    <w:rsid w:val="007B5188"/>
    <w:rsid w:val="007B58FE"/>
    <w:rsid w:val="007B6C99"/>
    <w:rsid w:val="007C0D5B"/>
    <w:rsid w:val="007C285D"/>
    <w:rsid w:val="007C7D8B"/>
    <w:rsid w:val="007D5854"/>
    <w:rsid w:val="007D7264"/>
    <w:rsid w:val="007E22C9"/>
    <w:rsid w:val="007E2437"/>
    <w:rsid w:val="007E4256"/>
    <w:rsid w:val="007F461D"/>
    <w:rsid w:val="007F7F3C"/>
    <w:rsid w:val="00805A63"/>
    <w:rsid w:val="00811CAD"/>
    <w:rsid w:val="008211CF"/>
    <w:rsid w:val="00831779"/>
    <w:rsid w:val="00831C12"/>
    <w:rsid w:val="00831E38"/>
    <w:rsid w:val="0083266B"/>
    <w:rsid w:val="00833B19"/>
    <w:rsid w:val="008357E2"/>
    <w:rsid w:val="0083727B"/>
    <w:rsid w:val="008430EA"/>
    <w:rsid w:val="008436DE"/>
    <w:rsid w:val="008449AF"/>
    <w:rsid w:val="008455C2"/>
    <w:rsid w:val="00856722"/>
    <w:rsid w:val="00856BB8"/>
    <w:rsid w:val="00866F73"/>
    <w:rsid w:val="00872650"/>
    <w:rsid w:val="008772D4"/>
    <w:rsid w:val="008865D8"/>
    <w:rsid w:val="00894F54"/>
    <w:rsid w:val="00896094"/>
    <w:rsid w:val="008A4C50"/>
    <w:rsid w:val="008B265B"/>
    <w:rsid w:val="008B3C78"/>
    <w:rsid w:val="008C344A"/>
    <w:rsid w:val="008D4A78"/>
    <w:rsid w:val="008F4493"/>
    <w:rsid w:val="009111E4"/>
    <w:rsid w:val="009173F5"/>
    <w:rsid w:val="00921AF2"/>
    <w:rsid w:val="00926A86"/>
    <w:rsid w:val="009308EE"/>
    <w:rsid w:val="009310B5"/>
    <w:rsid w:val="0093454B"/>
    <w:rsid w:val="00940C7F"/>
    <w:rsid w:val="00942AEC"/>
    <w:rsid w:val="00952A0C"/>
    <w:rsid w:val="00952FCF"/>
    <w:rsid w:val="009560B1"/>
    <w:rsid w:val="0095640F"/>
    <w:rsid w:val="009578C9"/>
    <w:rsid w:val="00972186"/>
    <w:rsid w:val="00975781"/>
    <w:rsid w:val="0097631C"/>
    <w:rsid w:val="00984CE8"/>
    <w:rsid w:val="00986768"/>
    <w:rsid w:val="009979D4"/>
    <w:rsid w:val="009B0800"/>
    <w:rsid w:val="009B0B4B"/>
    <w:rsid w:val="009B2B71"/>
    <w:rsid w:val="009B5743"/>
    <w:rsid w:val="009C0FBC"/>
    <w:rsid w:val="009C692A"/>
    <w:rsid w:val="009D306D"/>
    <w:rsid w:val="009E0D22"/>
    <w:rsid w:val="009E1232"/>
    <w:rsid w:val="009E28FB"/>
    <w:rsid w:val="009E7FC6"/>
    <w:rsid w:val="009F6D64"/>
    <w:rsid w:val="00A05C20"/>
    <w:rsid w:val="00A113A9"/>
    <w:rsid w:val="00A16C0B"/>
    <w:rsid w:val="00A20F3D"/>
    <w:rsid w:val="00A24287"/>
    <w:rsid w:val="00A277A8"/>
    <w:rsid w:val="00A32890"/>
    <w:rsid w:val="00A4006E"/>
    <w:rsid w:val="00A4108A"/>
    <w:rsid w:val="00A4135F"/>
    <w:rsid w:val="00A42EFE"/>
    <w:rsid w:val="00A52666"/>
    <w:rsid w:val="00A64777"/>
    <w:rsid w:val="00A70765"/>
    <w:rsid w:val="00A716BE"/>
    <w:rsid w:val="00A85C76"/>
    <w:rsid w:val="00A9010E"/>
    <w:rsid w:val="00A91E97"/>
    <w:rsid w:val="00A938E4"/>
    <w:rsid w:val="00A9403B"/>
    <w:rsid w:val="00A964E2"/>
    <w:rsid w:val="00AA0161"/>
    <w:rsid w:val="00AA26D0"/>
    <w:rsid w:val="00AA56F3"/>
    <w:rsid w:val="00AA74BE"/>
    <w:rsid w:val="00AB6035"/>
    <w:rsid w:val="00AB6778"/>
    <w:rsid w:val="00AC4BEB"/>
    <w:rsid w:val="00AD1853"/>
    <w:rsid w:val="00AD611C"/>
    <w:rsid w:val="00AD7319"/>
    <w:rsid w:val="00AE1EE6"/>
    <w:rsid w:val="00AE3E72"/>
    <w:rsid w:val="00AF336C"/>
    <w:rsid w:val="00B0240C"/>
    <w:rsid w:val="00B057F8"/>
    <w:rsid w:val="00B05E3C"/>
    <w:rsid w:val="00B06964"/>
    <w:rsid w:val="00B17B36"/>
    <w:rsid w:val="00B304EA"/>
    <w:rsid w:val="00B32EB2"/>
    <w:rsid w:val="00B33420"/>
    <w:rsid w:val="00B37E86"/>
    <w:rsid w:val="00B46C9A"/>
    <w:rsid w:val="00B512DE"/>
    <w:rsid w:val="00B549F3"/>
    <w:rsid w:val="00B62542"/>
    <w:rsid w:val="00B67D92"/>
    <w:rsid w:val="00B74695"/>
    <w:rsid w:val="00B7664E"/>
    <w:rsid w:val="00B8355D"/>
    <w:rsid w:val="00B95B3D"/>
    <w:rsid w:val="00B96FA1"/>
    <w:rsid w:val="00BA24DE"/>
    <w:rsid w:val="00BA6DEA"/>
    <w:rsid w:val="00BB42FC"/>
    <w:rsid w:val="00BB5CE7"/>
    <w:rsid w:val="00BC0830"/>
    <w:rsid w:val="00BC2B0C"/>
    <w:rsid w:val="00BD0843"/>
    <w:rsid w:val="00BD6717"/>
    <w:rsid w:val="00BE7824"/>
    <w:rsid w:val="00BE7D1F"/>
    <w:rsid w:val="00BF3D2B"/>
    <w:rsid w:val="00C138F8"/>
    <w:rsid w:val="00C13915"/>
    <w:rsid w:val="00C23AD0"/>
    <w:rsid w:val="00C30A6F"/>
    <w:rsid w:val="00C30D9E"/>
    <w:rsid w:val="00C31DE6"/>
    <w:rsid w:val="00C359B4"/>
    <w:rsid w:val="00C370E9"/>
    <w:rsid w:val="00C47DBF"/>
    <w:rsid w:val="00C57AA9"/>
    <w:rsid w:val="00C65800"/>
    <w:rsid w:val="00C6756C"/>
    <w:rsid w:val="00C72CEA"/>
    <w:rsid w:val="00C813DF"/>
    <w:rsid w:val="00C84F65"/>
    <w:rsid w:val="00C87546"/>
    <w:rsid w:val="00C91EA2"/>
    <w:rsid w:val="00CA025E"/>
    <w:rsid w:val="00CB224A"/>
    <w:rsid w:val="00CB26BA"/>
    <w:rsid w:val="00CB35CB"/>
    <w:rsid w:val="00CB5AF0"/>
    <w:rsid w:val="00CC565C"/>
    <w:rsid w:val="00CD0073"/>
    <w:rsid w:val="00CD68D4"/>
    <w:rsid w:val="00CE3824"/>
    <w:rsid w:val="00CE384F"/>
    <w:rsid w:val="00CE3A59"/>
    <w:rsid w:val="00CE6BD1"/>
    <w:rsid w:val="00CE7280"/>
    <w:rsid w:val="00D00882"/>
    <w:rsid w:val="00D02F33"/>
    <w:rsid w:val="00D03897"/>
    <w:rsid w:val="00D07A79"/>
    <w:rsid w:val="00D14A41"/>
    <w:rsid w:val="00D20C72"/>
    <w:rsid w:val="00D222D2"/>
    <w:rsid w:val="00D31645"/>
    <w:rsid w:val="00D32896"/>
    <w:rsid w:val="00D4123C"/>
    <w:rsid w:val="00D54202"/>
    <w:rsid w:val="00D5455A"/>
    <w:rsid w:val="00D56C9F"/>
    <w:rsid w:val="00D613B4"/>
    <w:rsid w:val="00D71127"/>
    <w:rsid w:val="00D80D73"/>
    <w:rsid w:val="00D8373D"/>
    <w:rsid w:val="00D96BAD"/>
    <w:rsid w:val="00DA1E10"/>
    <w:rsid w:val="00DA25DB"/>
    <w:rsid w:val="00DA6C45"/>
    <w:rsid w:val="00DA7293"/>
    <w:rsid w:val="00DB1225"/>
    <w:rsid w:val="00DB45FA"/>
    <w:rsid w:val="00DC1A5F"/>
    <w:rsid w:val="00DC3233"/>
    <w:rsid w:val="00DC4601"/>
    <w:rsid w:val="00DC564E"/>
    <w:rsid w:val="00DD43E1"/>
    <w:rsid w:val="00DE6537"/>
    <w:rsid w:val="00DF13CE"/>
    <w:rsid w:val="00DF509B"/>
    <w:rsid w:val="00DF7588"/>
    <w:rsid w:val="00E03303"/>
    <w:rsid w:val="00E04BDA"/>
    <w:rsid w:val="00E11238"/>
    <w:rsid w:val="00E11386"/>
    <w:rsid w:val="00E14F75"/>
    <w:rsid w:val="00E16345"/>
    <w:rsid w:val="00E2621D"/>
    <w:rsid w:val="00E37B4D"/>
    <w:rsid w:val="00E42373"/>
    <w:rsid w:val="00E558C6"/>
    <w:rsid w:val="00E81ECC"/>
    <w:rsid w:val="00E864F5"/>
    <w:rsid w:val="00E93252"/>
    <w:rsid w:val="00E93B84"/>
    <w:rsid w:val="00E95676"/>
    <w:rsid w:val="00EA3850"/>
    <w:rsid w:val="00EB2268"/>
    <w:rsid w:val="00EB3D37"/>
    <w:rsid w:val="00EB5B0C"/>
    <w:rsid w:val="00EC0509"/>
    <w:rsid w:val="00EC1D65"/>
    <w:rsid w:val="00EC2839"/>
    <w:rsid w:val="00EC4C5B"/>
    <w:rsid w:val="00EC4FF6"/>
    <w:rsid w:val="00ED2572"/>
    <w:rsid w:val="00ED2D6D"/>
    <w:rsid w:val="00ED31B1"/>
    <w:rsid w:val="00ED3DBE"/>
    <w:rsid w:val="00F02B06"/>
    <w:rsid w:val="00F06051"/>
    <w:rsid w:val="00F07AD4"/>
    <w:rsid w:val="00F158CE"/>
    <w:rsid w:val="00F307A6"/>
    <w:rsid w:val="00F314BE"/>
    <w:rsid w:val="00F32351"/>
    <w:rsid w:val="00F37B36"/>
    <w:rsid w:val="00F442D9"/>
    <w:rsid w:val="00F541A1"/>
    <w:rsid w:val="00F56884"/>
    <w:rsid w:val="00F62D61"/>
    <w:rsid w:val="00F67F15"/>
    <w:rsid w:val="00F70F8E"/>
    <w:rsid w:val="00F71272"/>
    <w:rsid w:val="00F720D5"/>
    <w:rsid w:val="00F74389"/>
    <w:rsid w:val="00F8008B"/>
    <w:rsid w:val="00F80241"/>
    <w:rsid w:val="00F91F97"/>
    <w:rsid w:val="00F953A8"/>
    <w:rsid w:val="00F96DA1"/>
    <w:rsid w:val="00FA0857"/>
    <w:rsid w:val="00FB6F61"/>
    <w:rsid w:val="00FC2456"/>
    <w:rsid w:val="00FC25FE"/>
    <w:rsid w:val="00FC2BB8"/>
    <w:rsid w:val="00FE00BA"/>
    <w:rsid w:val="00FE0BCF"/>
    <w:rsid w:val="00FE1AA8"/>
    <w:rsid w:val="00FE2807"/>
    <w:rsid w:val="00FE58AF"/>
    <w:rsid w:val="00FF05B1"/>
    <w:rsid w:val="00FF6A94"/>
    <w:rsid w:val="00FF6B80"/>
    <w:rsid w:val="00FF7C41"/>
    <w:rsid w:val="160CC9FF"/>
    <w:rsid w:val="63EA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BEF25"/>
  <w15:docId w15:val="{AFFF87F8-D8DA-4012-9F2A-B0B1562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31F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4E3576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4E3576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576"/>
  </w:style>
  <w:style w:type="paragraph" w:styleId="PargrafodaLista">
    <w:name w:val="List Paragraph"/>
    <w:basedOn w:val="Normal"/>
    <w:uiPriority w:val="1"/>
    <w:qFormat/>
    <w:rsid w:val="004E357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E3576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42EFE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D80D73"/>
    <w:pPr>
      <w:widowControl/>
    </w:pPr>
    <w:rPr>
      <w:rFonts w:ascii="Arial" w:eastAsiaTheme="minorHAnsi" w:hAnsi="Arial" w:cs="Arial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0D73"/>
    <w:rPr>
      <w:rFonts w:ascii="Arial" w:hAnsi="Arial" w:cs="Arial"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F67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7F15"/>
    <w:rPr>
      <w:b/>
      <w:bCs/>
    </w:rPr>
  </w:style>
  <w:style w:type="paragraph" w:customStyle="1" w:styleId="Default">
    <w:name w:val="Default"/>
    <w:rsid w:val="001253D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66E1-92DD-4AD9-B3BE-50C24F9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2017-09-04T19:38:00Z</cp:lastPrinted>
  <dcterms:created xsi:type="dcterms:W3CDTF">2022-03-30T16:56:00Z</dcterms:created>
  <dcterms:modified xsi:type="dcterms:W3CDTF">2022-05-25T13:34:00Z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