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C51920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176CADF6" w:rsidR="00113CE6" w:rsidRPr="00E61C23" w:rsidRDefault="00C51920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Protocolo SICCAU n° </w:t>
            </w:r>
            <w:r w:rsidR="00551DC8" w:rsidRPr="00A4001D">
              <w:rPr>
                <w:rFonts w:asciiTheme="majorHAnsi" w:hAnsiTheme="majorHAnsi"/>
                <w:sz w:val="21"/>
                <w:szCs w:val="21"/>
              </w:rPr>
              <w:t>1</w:t>
            </w:r>
            <w:r w:rsidR="00551DC8">
              <w:rPr>
                <w:rFonts w:asciiTheme="majorHAnsi" w:hAnsiTheme="majorHAnsi"/>
                <w:sz w:val="21"/>
                <w:szCs w:val="21"/>
              </w:rPr>
              <w:t>491395</w:t>
            </w:r>
            <w:r>
              <w:rPr>
                <w:rFonts w:asciiTheme="majorHAnsi" w:hAnsiTheme="majorHAnsi" w:cs="Times New Roman"/>
              </w:rPr>
              <w:t>/2022</w:t>
            </w:r>
          </w:p>
        </w:tc>
      </w:tr>
      <w:tr w:rsidR="00113CE6" w:rsidRPr="00551DC8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379D1B48" w:rsidR="00B8018D" w:rsidRPr="00E61C23" w:rsidRDefault="00ED0FA5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Plenário do CAU/MG</w:t>
            </w:r>
          </w:p>
        </w:tc>
      </w:tr>
      <w:tr w:rsidR="00113CE6" w:rsidRPr="00551DC8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6FEAD6AE" w:rsidR="00113CE6" w:rsidRPr="003D5BAC" w:rsidRDefault="00ED0FA5" w:rsidP="000D2BF9">
            <w:pPr>
              <w:suppressLineNumbers/>
              <w:rPr>
                <w:rFonts w:asciiTheme="majorHAnsi" w:hAnsiTheme="majorHAnsi" w:cs="Times New Roman"/>
              </w:rPr>
            </w:pPr>
            <w:r w:rsidRPr="003D5BAC">
              <w:rPr>
                <w:rFonts w:asciiTheme="majorHAnsi" w:hAnsiTheme="majorHAnsi" w:cs="Times New Roman"/>
              </w:rPr>
              <w:t xml:space="preserve">Apreciação de </w:t>
            </w:r>
            <w:r>
              <w:rPr>
                <w:rFonts w:asciiTheme="majorHAnsi" w:hAnsiTheme="majorHAnsi" w:cs="Times New Roman"/>
              </w:rPr>
              <w:t>consulta sobre atribuições profissionais no âmbito da arquitetura e urbanismo</w:t>
            </w:r>
            <w:r w:rsidR="001D5264">
              <w:rPr>
                <w:rFonts w:asciiTheme="majorHAnsi" w:hAnsiTheme="majorHAnsi" w:cs="Times New Roman"/>
              </w:rPr>
              <w:t>, consulta encaminhada por profissional Arquiteto e Urbanista</w:t>
            </w:r>
          </w:p>
        </w:tc>
      </w:tr>
      <w:tr w:rsidR="00113CE6" w:rsidRPr="00551DC8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551DC8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45DDDCED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 w:rsidRPr="00CB2546">
              <w:rPr>
                <w:rFonts w:asciiTheme="majorHAnsi" w:hAnsiTheme="majorHAnsi" w:cs="Times New Roman"/>
                <w:b/>
              </w:rPr>
              <w:t>18</w:t>
            </w:r>
            <w:r w:rsidR="00CB2546" w:rsidRPr="00CB2546">
              <w:rPr>
                <w:rFonts w:asciiTheme="majorHAnsi" w:hAnsiTheme="majorHAnsi" w:cs="Times New Roman"/>
                <w:b/>
              </w:rPr>
              <w:t>9</w:t>
            </w:r>
            <w:r w:rsidR="00EB4570" w:rsidRPr="00CB2546">
              <w:rPr>
                <w:rFonts w:asciiTheme="majorHAnsi" w:hAnsiTheme="majorHAnsi" w:cs="Times New Roman"/>
                <w:b/>
              </w:rPr>
              <w:t>.</w:t>
            </w:r>
            <w:r w:rsidR="00526586">
              <w:rPr>
                <w:rFonts w:asciiTheme="majorHAnsi" w:hAnsiTheme="majorHAnsi" w:cs="Times New Roman"/>
                <w:b/>
              </w:rPr>
              <w:t>5</w:t>
            </w:r>
            <w:r w:rsidR="00EB4570" w:rsidRPr="00526586">
              <w:rPr>
                <w:rFonts w:asciiTheme="majorHAnsi" w:hAnsiTheme="majorHAnsi" w:cs="Times New Roman"/>
                <w:b/>
              </w:rPr>
              <w:t>.</w:t>
            </w:r>
            <w:r w:rsidR="001F5C76">
              <w:rPr>
                <w:rFonts w:asciiTheme="majorHAnsi" w:hAnsiTheme="majorHAnsi" w:cs="Times New Roman"/>
                <w:b/>
              </w:rPr>
              <w:t>4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CE1803A" w14:textId="062A7969" w:rsidR="00C51920" w:rsidRPr="00C41497" w:rsidRDefault="00C51920" w:rsidP="00C51920">
      <w:pPr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A COMISSÃO DE EXERCÍCIO PROFISSIONAL – CEP-CAU/MG, reunida ordinariamente</w:t>
      </w:r>
      <w:r w:rsidR="00CB2546">
        <w:rPr>
          <w:rFonts w:asciiTheme="majorHAnsi" w:hAnsiTheme="majorHAnsi" w:cs="Times New Roman"/>
          <w:lang w:val="pt-BR"/>
        </w:rPr>
        <w:t xml:space="preserve"> em formato híbrido, com membros presencialmente na Sede do Conselho Regional de Administração de Minas Gerais – CRA/MG, localizado à Avenida Olegário Maciel, 1.233, Lourdes, Belo Horizonte, Minas Gerais, bem como membros </w:t>
      </w:r>
      <w:r w:rsidRPr="00C41497">
        <w:rPr>
          <w:rFonts w:asciiTheme="majorHAnsi" w:hAnsiTheme="majorHAnsi" w:cs="Times New Roman"/>
          <w:lang w:val="pt-BR"/>
        </w:rPr>
        <w:t xml:space="preserve">em ambiente virtual, </w:t>
      </w:r>
      <w:r w:rsidR="00CB2546">
        <w:rPr>
          <w:rFonts w:asciiTheme="majorHAnsi" w:hAnsiTheme="majorHAnsi" w:cs="Times New Roman"/>
          <w:lang w:val="pt-BR"/>
        </w:rPr>
        <w:t>por meio</w:t>
      </w:r>
      <w:r w:rsidRPr="00C41497">
        <w:rPr>
          <w:rFonts w:asciiTheme="majorHAnsi" w:hAnsiTheme="majorHAnsi" w:cs="Times New Roman"/>
          <w:lang w:val="pt-BR"/>
        </w:rPr>
        <w:t xml:space="preserve"> de videoconferência, no dia </w:t>
      </w:r>
      <w:r w:rsidR="005D1ADF" w:rsidRPr="00CB2546">
        <w:rPr>
          <w:rFonts w:asciiTheme="majorHAnsi" w:hAnsiTheme="majorHAnsi" w:cs="Times New Roman"/>
          <w:lang w:val="pt-BR"/>
        </w:rPr>
        <w:t>2</w:t>
      </w:r>
      <w:r w:rsidR="00CB2546" w:rsidRPr="00CB2546">
        <w:rPr>
          <w:rFonts w:asciiTheme="majorHAnsi" w:hAnsiTheme="majorHAnsi" w:cs="Times New Roman"/>
          <w:lang w:val="pt-BR"/>
        </w:rPr>
        <w:t>5</w:t>
      </w:r>
      <w:r w:rsidRPr="00CB2546">
        <w:rPr>
          <w:rFonts w:asciiTheme="majorHAnsi" w:hAnsiTheme="majorHAnsi" w:cs="Times New Roman"/>
          <w:lang w:val="pt-BR"/>
        </w:rPr>
        <w:t xml:space="preserve"> de </w:t>
      </w:r>
      <w:r w:rsidR="00CB2546" w:rsidRPr="00CB2546">
        <w:rPr>
          <w:rFonts w:asciiTheme="majorHAnsi" w:hAnsiTheme="majorHAnsi" w:cs="Times New Roman"/>
          <w:lang w:val="pt-BR"/>
        </w:rPr>
        <w:t>abril</w:t>
      </w:r>
      <w:r w:rsidRPr="00CB2546">
        <w:rPr>
          <w:rFonts w:asciiTheme="majorHAnsi" w:hAnsiTheme="majorHAnsi" w:cs="Times New Roman"/>
          <w:lang w:val="pt-BR"/>
        </w:rPr>
        <w:t xml:space="preserve"> de 2022</w:t>
      </w:r>
      <w:r w:rsidRPr="00C41497">
        <w:rPr>
          <w:rFonts w:asciiTheme="majorHAnsi" w:hAnsiTheme="majorHAnsi" w:cs="Times New Roman"/>
          <w:lang w:val="pt-BR"/>
        </w:rPr>
        <w:t>, após análise do assunto em epígrafe, no uso das competências que lhe conferem o artigo 96 do Regimento Interno do CAU/MG:</w:t>
      </w:r>
    </w:p>
    <w:p w14:paraId="1B6998A1" w14:textId="3D111734" w:rsidR="0058380F" w:rsidRPr="00C41497" w:rsidRDefault="0058380F" w:rsidP="00C14522">
      <w:pPr>
        <w:jc w:val="both"/>
        <w:rPr>
          <w:rFonts w:asciiTheme="majorHAnsi" w:hAnsiTheme="majorHAnsi" w:cs="Times New Roman"/>
          <w:lang w:val="pt-BR"/>
        </w:rPr>
      </w:pPr>
    </w:p>
    <w:p w14:paraId="3B975868" w14:textId="05962656" w:rsidR="0058380F" w:rsidRPr="00C41497" w:rsidRDefault="0058380F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6C497799" w14:textId="597E17ED" w:rsidR="004A4AB6" w:rsidRPr="00C41497" w:rsidRDefault="004A4AB6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D18A609" w14:textId="77777777" w:rsidR="004A4AB6" w:rsidRPr="00C41497" w:rsidRDefault="004A4AB6" w:rsidP="004A4A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25A665B0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7B97D02C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92. Compete às comissões ordinárias e especiais:</w:t>
      </w:r>
    </w:p>
    <w:p w14:paraId="0A1A33E1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2A44F703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32C4F160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486CCE0F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1129FBA8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VIII - propor, apreciar e deliberar sobre questionamentos a atos já normatizados pelo CAU/BR referentes a:</w:t>
      </w:r>
    </w:p>
    <w:p w14:paraId="12A80638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53B40101" w14:textId="17C5D123" w:rsidR="0058380F" w:rsidRPr="008379CF" w:rsidRDefault="003D5BAC" w:rsidP="00DE2AB2">
      <w:pPr>
        <w:pStyle w:val="PargrafodaLista"/>
        <w:numPr>
          <w:ilvl w:val="0"/>
          <w:numId w:val="2"/>
        </w:numPr>
        <w:suppressLineNumbers/>
        <w:spacing w:line="276" w:lineRule="auto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atividades técnicas no exercício da Arquitetura e Urbanismo;</w:t>
      </w:r>
    </w:p>
    <w:p w14:paraId="04A603B2" w14:textId="77777777" w:rsidR="003D5BAC" w:rsidRPr="003D5BAC" w:rsidRDefault="003D5BAC" w:rsidP="003D5BAC">
      <w:pPr>
        <w:pStyle w:val="PargrafodaLista"/>
        <w:suppressLineNumbers/>
        <w:spacing w:line="276" w:lineRule="auto"/>
        <w:ind w:left="2880"/>
        <w:rPr>
          <w:rFonts w:asciiTheme="majorHAnsi" w:hAnsiTheme="majorHAnsi" w:cs="Times New Roman"/>
          <w:lang w:val="pt-BR"/>
        </w:rPr>
      </w:pPr>
    </w:p>
    <w:p w14:paraId="5C4F5DB4" w14:textId="77777777" w:rsidR="00526586" w:rsidRPr="00526586" w:rsidRDefault="00526586" w:rsidP="00526586">
      <w:pPr>
        <w:jc w:val="both"/>
        <w:rPr>
          <w:rFonts w:asciiTheme="majorHAnsi" w:hAnsiTheme="majorHAnsi" w:cs="Times New Roman"/>
          <w:lang w:val="pt-BR"/>
        </w:rPr>
      </w:pPr>
      <w:r w:rsidRPr="00526586">
        <w:rPr>
          <w:rFonts w:asciiTheme="majorHAnsi" w:hAnsiTheme="majorHAnsi" w:cs="Times New Roman"/>
          <w:lang w:val="pt-BR"/>
        </w:rPr>
        <w:t>Considerando que o exercício da Arquitetura e Urbanismo é regulamentado pela Lei Federal nº 12.378/2010, que dispõe, em seu Art. 2º, sobre as atividades, atribuições e campos de atuação profissional do arquiteto e urbanista e, no art. 3º, esclarece que os campos de atuação para o exercício da Arquitetura e Urbanismo são definidos a partir das Diretrizes Curriculares Nacionais (DCN), que dispõem sobre a formação do profissional arquiteto e urbanista;</w:t>
      </w:r>
    </w:p>
    <w:p w14:paraId="480CDDFE" w14:textId="0D4C6DA0" w:rsidR="005D1ADF" w:rsidRDefault="005D1ADF" w:rsidP="00C51920">
      <w:pPr>
        <w:jc w:val="both"/>
        <w:rPr>
          <w:rFonts w:asciiTheme="majorHAnsi" w:hAnsiTheme="majorHAnsi" w:cs="Times New Roman"/>
          <w:lang w:val="pt-BR"/>
        </w:rPr>
      </w:pPr>
    </w:p>
    <w:p w14:paraId="58570838" w14:textId="77777777" w:rsidR="00526586" w:rsidRPr="00526586" w:rsidRDefault="00526586" w:rsidP="00526586">
      <w:pPr>
        <w:jc w:val="both"/>
        <w:rPr>
          <w:rFonts w:asciiTheme="majorHAnsi" w:hAnsiTheme="majorHAnsi" w:cs="Times New Roman"/>
          <w:lang w:val="pt-BR"/>
        </w:rPr>
      </w:pPr>
      <w:r w:rsidRPr="00526586">
        <w:rPr>
          <w:rFonts w:asciiTheme="majorHAnsi" w:hAnsiTheme="majorHAnsi" w:cs="Times New Roman"/>
          <w:lang w:val="pt-BR"/>
        </w:rPr>
        <w:t>Considerando Deliberação Plenária DPAEBR Nº 006-03/2020, que aprova as orientações e esclarecimentos sobre questionamentos referentes às atividades e atribuições profissionais e campos de atuação dos arquitetos e urbanistas, e referentes à exercício, disciplina e fiscalização da profissão;</w:t>
      </w:r>
    </w:p>
    <w:p w14:paraId="7C4AEB3E" w14:textId="77777777" w:rsidR="00526586" w:rsidRDefault="00526586" w:rsidP="00526586">
      <w:pPr>
        <w:jc w:val="both"/>
        <w:rPr>
          <w:rFonts w:asciiTheme="majorHAnsi" w:hAnsiTheme="majorHAnsi" w:cs="Times New Roman"/>
          <w:lang w:val="pt-BR"/>
        </w:rPr>
      </w:pPr>
    </w:p>
    <w:p w14:paraId="7C5B58A4" w14:textId="2774E2D0" w:rsidR="00526586" w:rsidRDefault="00526586" w:rsidP="00526586">
      <w:pPr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relatório e voto apresentado pelo Conselheiro Lucas Lima Leonel Fonseca</w:t>
      </w:r>
      <w:r w:rsidR="001F5C76">
        <w:rPr>
          <w:rFonts w:asciiTheme="majorHAnsi" w:hAnsiTheme="majorHAnsi" w:cs="Times New Roman"/>
          <w:lang w:val="pt-BR"/>
        </w:rPr>
        <w:t>.</w:t>
      </w:r>
    </w:p>
    <w:p w14:paraId="4A2E0793" w14:textId="77777777" w:rsidR="001F5C76" w:rsidRDefault="001F5C76" w:rsidP="00526586">
      <w:pPr>
        <w:rPr>
          <w:rFonts w:asciiTheme="majorHAnsi" w:hAnsiTheme="majorHAnsi" w:cs="Times New Roman"/>
          <w:lang w:val="pt-BR"/>
        </w:rPr>
      </w:pPr>
    </w:p>
    <w:p w14:paraId="45B23259" w14:textId="7DA945B0" w:rsidR="00DF249C" w:rsidRDefault="00DF249C" w:rsidP="00C51920">
      <w:pPr>
        <w:jc w:val="both"/>
        <w:rPr>
          <w:rFonts w:asciiTheme="majorHAnsi" w:hAnsiTheme="majorHAnsi" w:cs="Times New Roman"/>
          <w:lang w:val="pt-BR"/>
        </w:rPr>
      </w:pPr>
    </w:p>
    <w:p w14:paraId="56524D17" w14:textId="770EE6F3" w:rsidR="0008559A" w:rsidRPr="008C59E1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375D3653" w14:textId="76B64C3C" w:rsidR="00526586" w:rsidRPr="006E7578" w:rsidRDefault="00526586" w:rsidP="00526586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 xml:space="preserve">Acolher o relatório e voto do </w:t>
      </w:r>
      <w:r>
        <w:rPr>
          <w:rFonts w:asciiTheme="majorHAnsi" w:hAnsiTheme="majorHAnsi" w:cs="Times New Roman"/>
          <w:lang w:val="pt-BR"/>
        </w:rPr>
        <w:t>Lucas Lima Leonel Fonseca</w:t>
      </w:r>
      <w:r>
        <w:rPr>
          <w:rFonts w:asciiTheme="majorHAnsi" w:hAnsiTheme="majorHAnsi" w:cs="Arial"/>
          <w:color w:val="000000"/>
          <w:lang w:val="pt-BR"/>
        </w:rPr>
        <w:t>, que estabelece como atribuição de arquiteto e urbanista a atividade técnica que menciona, qua</w:t>
      </w:r>
      <w:r w:rsidR="006E7578">
        <w:rPr>
          <w:rFonts w:asciiTheme="majorHAnsi" w:hAnsiTheme="majorHAnsi" w:cs="Arial"/>
          <w:color w:val="000000"/>
          <w:lang w:val="pt-BR"/>
        </w:rPr>
        <w:t>l</w:t>
      </w:r>
      <w:r>
        <w:rPr>
          <w:rFonts w:asciiTheme="majorHAnsi" w:hAnsiTheme="majorHAnsi" w:cs="Arial"/>
          <w:color w:val="000000"/>
          <w:lang w:val="pt-BR"/>
        </w:rPr>
        <w:t xml:space="preserve"> seja:</w:t>
      </w:r>
    </w:p>
    <w:p w14:paraId="113CD32A" w14:textId="437752C6" w:rsidR="001F5C76" w:rsidRPr="001F5C76" w:rsidRDefault="001F5C76" w:rsidP="006E7578">
      <w:pPr>
        <w:pStyle w:val="PargrafodaLista"/>
        <w:spacing w:before="120" w:after="120" w:line="312" w:lineRule="auto"/>
        <w:ind w:left="1434" w:firstLine="6"/>
        <w:rPr>
          <w:rFonts w:ascii="Cambria" w:hAnsi="Cambria"/>
          <w:i/>
          <w:color w:val="000000"/>
          <w:sz w:val="21"/>
          <w:szCs w:val="21"/>
          <w:lang w:val="pt-BR"/>
        </w:rPr>
      </w:pPr>
      <w:r>
        <w:rPr>
          <w:rFonts w:ascii="Cambria" w:hAnsi="Cambria"/>
          <w:i/>
          <w:color w:val="000000"/>
          <w:sz w:val="21"/>
          <w:szCs w:val="21"/>
          <w:lang w:val="pt-BR"/>
        </w:rPr>
        <w:lastRenderedPageBreak/>
        <w:t>S</w:t>
      </w:r>
      <w:r w:rsidRPr="001F5C76">
        <w:rPr>
          <w:rFonts w:ascii="Cambria" w:hAnsi="Cambria"/>
          <w:i/>
          <w:color w:val="000000"/>
          <w:sz w:val="21"/>
          <w:szCs w:val="21"/>
          <w:lang w:val="pt-BR"/>
        </w:rPr>
        <w:t>erviços de instalação de placas fotovoltaicas, de baixa tensão, em residências</w:t>
      </w:r>
    </w:p>
    <w:p w14:paraId="2526C06E" w14:textId="462EE2B0" w:rsidR="006E7578" w:rsidRPr="003505FD" w:rsidRDefault="006E7578" w:rsidP="006E7578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 xml:space="preserve">Solicitar o encaminhamento do relatório do Conselheiro </w:t>
      </w:r>
      <w:r>
        <w:rPr>
          <w:rFonts w:asciiTheme="majorHAnsi" w:hAnsiTheme="majorHAnsi" w:cs="Times New Roman"/>
          <w:lang w:val="pt-BR"/>
        </w:rPr>
        <w:t>Lucas Lima Leonel Fonseca</w:t>
      </w:r>
      <w:r>
        <w:rPr>
          <w:rFonts w:asciiTheme="majorHAnsi" w:hAnsiTheme="majorHAnsi" w:cs="Arial"/>
          <w:color w:val="000000"/>
          <w:lang w:val="pt-BR"/>
        </w:rPr>
        <w:t>, para apreciação pelo Plenário do CAU/MG;</w:t>
      </w:r>
    </w:p>
    <w:p w14:paraId="5AB0F67B" w14:textId="77777777" w:rsidR="006E7578" w:rsidRPr="003505FD" w:rsidRDefault="006E7578" w:rsidP="006E7578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color w:val="000000"/>
          <w:lang w:val="pt-BR"/>
        </w:rPr>
      </w:pPr>
      <w:r w:rsidRPr="003505FD">
        <w:rPr>
          <w:rFonts w:asciiTheme="majorHAnsi" w:hAnsiTheme="majorHAnsi" w:cs="Arial"/>
          <w:color w:val="000000"/>
          <w:lang w:val="pt-BR"/>
        </w:rPr>
        <w:t>Autorizar à Assessoria Técnica da CEP-CAU/MG a assinar digitalmente documentos produzidos por esta Comissão, quais sejam: i- relatório e voto do(a) Conselheiro(a) Relator(a)</w:t>
      </w:r>
      <w:r>
        <w:rPr>
          <w:rFonts w:asciiTheme="majorHAnsi" w:hAnsiTheme="majorHAnsi" w:cs="Arial"/>
          <w:color w:val="000000"/>
          <w:lang w:val="pt-BR"/>
        </w:rPr>
        <w:t xml:space="preserve">; </w:t>
      </w:r>
      <w:proofErr w:type="spellStart"/>
      <w:r>
        <w:rPr>
          <w:rFonts w:asciiTheme="majorHAnsi" w:hAnsiTheme="majorHAnsi" w:cs="Arial"/>
          <w:color w:val="000000"/>
          <w:lang w:val="pt-BR"/>
        </w:rPr>
        <w:t>ii</w:t>
      </w:r>
      <w:proofErr w:type="spellEnd"/>
      <w:r>
        <w:rPr>
          <w:rFonts w:asciiTheme="majorHAnsi" w:hAnsiTheme="majorHAnsi" w:cs="Arial"/>
          <w:color w:val="000000"/>
          <w:lang w:val="pt-BR"/>
        </w:rPr>
        <w:t xml:space="preserve">- presente deliberação </w:t>
      </w:r>
      <w:r w:rsidRPr="003505FD">
        <w:rPr>
          <w:rFonts w:asciiTheme="majorHAnsi" w:hAnsiTheme="majorHAnsi" w:cs="Arial"/>
          <w:color w:val="000000"/>
          <w:lang w:val="pt-BR"/>
        </w:rPr>
        <w:t>– e solicitar sua posterior juntada ao processo digital, de forma que possam ser dados os devidos encaminhamentos para as instâncias competentes ao cumprimento das decisões desta Deliberação.</w:t>
      </w:r>
    </w:p>
    <w:p w14:paraId="51ECA134" w14:textId="0FBB4AB7" w:rsidR="006E7578" w:rsidRDefault="006E7578" w:rsidP="006E7578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>
        <w:rPr>
          <w:rFonts w:asciiTheme="majorHAnsi" w:hAnsiTheme="majorHAnsi" w:cs="Arial"/>
          <w:color w:val="000000"/>
          <w:lang w:val="pt-BR"/>
        </w:rPr>
        <w:t>encaminhamentos.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1F2DFA9E" w14:textId="77777777" w:rsidR="006E7578" w:rsidRDefault="006E7578" w:rsidP="006E7578">
      <w:pPr>
        <w:pStyle w:val="PargrafodaLista"/>
        <w:spacing w:before="120" w:after="120" w:line="312" w:lineRule="auto"/>
        <w:ind w:left="714"/>
        <w:rPr>
          <w:rFonts w:asciiTheme="majorHAnsi" w:hAnsiTheme="majorHAnsi" w:cs="Arial"/>
          <w:lang w:val="pt-BR"/>
        </w:rPr>
      </w:pPr>
    </w:p>
    <w:p w14:paraId="0D98F1F1" w14:textId="470324F1" w:rsidR="00EB3D37" w:rsidRPr="008C59E1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5D1ADF" w:rsidRPr="00074EFC">
        <w:rPr>
          <w:rFonts w:asciiTheme="majorHAnsi" w:hAnsiTheme="majorHAnsi" w:cs="Times New Roman"/>
          <w:lang w:val="pt-BR"/>
        </w:rPr>
        <w:t>2</w:t>
      </w:r>
      <w:r w:rsidR="00074EFC" w:rsidRPr="00074EFC">
        <w:rPr>
          <w:rFonts w:asciiTheme="majorHAnsi" w:hAnsiTheme="majorHAnsi" w:cs="Times New Roman"/>
          <w:lang w:val="pt-BR"/>
        </w:rPr>
        <w:t>5</w:t>
      </w:r>
      <w:r w:rsidR="002B7732" w:rsidRPr="00074EFC">
        <w:rPr>
          <w:rFonts w:asciiTheme="majorHAnsi" w:hAnsiTheme="majorHAnsi" w:cs="Times New Roman"/>
          <w:lang w:val="pt-BR"/>
        </w:rPr>
        <w:t xml:space="preserve"> de </w:t>
      </w:r>
      <w:r w:rsidR="00074EFC" w:rsidRPr="00074EFC">
        <w:rPr>
          <w:rFonts w:asciiTheme="majorHAnsi" w:hAnsiTheme="majorHAnsi" w:cs="Times New Roman"/>
          <w:lang w:val="pt-BR"/>
        </w:rPr>
        <w:t>abril</w:t>
      </w:r>
      <w:r w:rsidR="002B7732" w:rsidRPr="00074EFC">
        <w:rPr>
          <w:rFonts w:asciiTheme="majorHAnsi" w:hAnsiTheme="majorHAnsi" w:cs="Times New Roman"/>
          <w:lang w:val="pt-BR"/>
        </w:rPr>
        <w:t xml:space="preserve"> de 202</w:t>
      </w:r>
      <w:r w:rsidR="00CD2BBF" w:rsidRPr="00074EFC">
        <w:rPr>
          <w:rFonts w:asciiTheme="majorHAnsi" w:hAnsiTheme="majorHAnsi" w:cs="Times New Roman"/>
          <w:lang w:val="pt-BR"/>
        </w:rPr>
        <w:t>2</w:t>
      </w:r>
      <w:r w:rsidR="00584354" w:rsidRPr="00074EFC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41F4325A" w:rsidR="00B21808" w:rsidRDefault="00E42659" w:rsidP="00E42659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18</w:t>
      </w:r>
      <w:r w:rsidR="00074EFC"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9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526586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5.3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 w:rsidR="00CD2BB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503C6DF4" w14:textId="77777777" w:rsidR="006E7578" w:rsidRPr="008C59E1" w:rsidRDefault="006E7578" w:rsidP="00E42659">
      <w:pPr>
        <w:jc w:val="center"/>
        <w:rPr>
          <w:rFonts w:asciiTheme="majorHAnsi" w:eastAsiaTheme="minorHAnsi" w:hAnsiTheme="majorHAnsi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340EEC" w14:paraId="1DE95ADA" w14:textId="77777777" w:rsidTr="006D2FF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04391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0E63C5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165C8D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340EEC" w14:paraId="2F90C9C7" w14:textId="77777777" w:rsidTr="006D2FF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1791" w14:textId="77777777" w:rsidR="00340EEC" w:rsidRDefault="00340EEC" w:rsidP="006D2F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47DC4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5CD9ADDC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EFC19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79E38510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74BFA2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E87768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39842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340EEC" w:rsidRPr="00CB2546" w14:paraId="10ED288F" w14:textId="77777777" w:rsidTr="006D2FF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CF090" w14:textId="06A052F5" w:rsidR="00340EEC" w:rsidRPr="0044259C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5691B" w14:textId="55611ED7" w:rsidR="00340EEC" w:rsidRPr="0044259C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DEB68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CA9E9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F11CC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A989B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340EEC" w:rsidRPr="00CB2546" w14:paraId="41C47C9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9BCE7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4310EAA5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6982D" w14:textId="13AC121E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8E731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A0B8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A2EBD" w14:textId="09E8FA32" w:rsidR="00340EEC" w:rsidRPr="00CB2546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FCE91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CB2546" w14:paraId="77C976B7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BDC76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875522A" w14:textId="77777777" w:rsidR="00340EEC" w:rsidRPr="00ED10F2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DF10C" w14:textId="49D30CB5" w:rsidR="00340EEC" w:rsidRPr="00CB2546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52065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87DAA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9945D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D70B3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CB2546" w14:paraId="257DEC7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C35B5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49051188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E71C2" w14:textId="409B4C9A" w:rsidR="00340EEC" w:rsidRPr="00EC3313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F1A23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A7174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F4696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39AF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06931C6D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3952F984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F3B088E" w14:textId="16D0BF0B" w:rsidR="006E7578" w:rsidRDefault="006E757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13DBF51" w14:textId="77777777" w:rsidR="006E7578" w:rsidRDefault="006E757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A780ABE" w14:textId="77777777" w:rsidR="005D1ADF" w:rsidRDefault="005D1ADF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D8CA1E" w14:textId="057DE790" w:rsidR="00303BF4" w:rsidRPr="00F77EDC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303BF4" w:rsidRPr="00F77EDC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76D43" w14:textId="77777777" w:rsidR="001564FE" w:rsidRDefault="001564FE" w:rsidP="007E22C9">
      <w:r>
        <w:separator/>
      </w:r>
    </w:p>
  </w:endnote>
  <w:endnote w:type="continuationSeparator" w:id="0">
    <w:p w14:paraId="5FE1CC63" w14:textId="77777777" w:rsidR="001564FE" w:rsidRDefault="001564FE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1DB37" w14:textId="77777777" w:rsidR="001564FE" w:rsidRDefault="001564FE" w:rsidP="007E22C9">
      <w:r>
        <w:separator/>
      </w:r>
    </w:p>
  </w:footnote>
  <w:footnote w:type="continuationSeparator" w:id="0">
    <w:p w14:paraId="0827ACA8" w14:textId="77777777" w:rsidR="001564FE" w:rsidRDefault="001564FE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358838">
    <w:abstractNumId w:val="1"/>
  </w:num>
  <w:num w:numId="2" w16cid:durableId="44361546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4EFC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45D50"/>
    <w:rsid w:val="001512FD"/>
    <w:rsid w:val="001564FE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D5264"/>
    <w:rsid w:val="001E205C"/>
    <w:rsid w:val="001E790A"/>
    <w:rsid w:val="001F3E1A"/>
    <w:rsid w:val="001F5C76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3F2E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1484F"/>
    <w:rsid w:val="00515CE3"/>
    <w:rsid w:val="00521E0B"/>
    <w:rsid w:val="00526586"/>
    <w:rsid w:val="005325EA"/>
    <w:rsid w:val="00534EF8"/>
    <w:rsid w:val="00542E03"/>
    <w:rsid w:val="00543310"/>
    <w:rsid w:val="005514F9"/>
    <w:rsid w:val="00551DC8"/>
    <w:rsid w:val="00553288"/>
    <w:rsid w:val="00561BF8"/>
    <w:rsid w:val="005632AD"/>
    <w:rsid w:val="005648A5"/>
    <w:rsid w:val="0056620D"/>
    <w:rsid w:val="0057329D"/>
    <w:rsid w:val="0058380F"/>
    <w:rsid w:val="00584354"/>
    <w:rsid w:val="0059662F"/>
    <w:rsid w:val="00596C06"/>
    <w:rsid w:val="005A0AFC"/>
    <w:rsid w:val="005C366A"/>
    <w:rsid w:val="005C6C3B"/>
    <w:rsid w:val="005D1468"/>
    <w:rsid w:val="005D1ADF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E7578"/>
    <w:rsid w:val="006F14EC"/>
    <w:rsid w:val="00705FF4"/>
    <w:rsid w:val="00712340"/>
    <w:rsid w:val="00722E5D"/>
    <w:rsid w:val="007509AB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A0161"/>
    <w:rsid w:val="00AB4165"/>
    <w:rsid w:val="00AB6035"/>
    <w:rsid w:val="00AB605A"/>
    <w:rsid w:val="00AB6778"/>
    <w:rsid w:val="00AD1853"/>
    <w:rsid w:val="00AD7073"/>
    <w:rsid w:val="00AD7319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E70D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2546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0FA5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731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6</cp:revision>
  <cp:lastPrinted>2022-01-24T14:46:00Z</cp:lastPrinted>
  <dcterms:created xsi:type="dcterms:W3CDTF">2022-04-27T11:49:00Z</dcterms:created>
  <dcterms:modified xsi:type="dcterms:W3CDTF">2022-05-05T12:00:00Z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