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97631C" w:rsidRPr="00D03897" w14:paraId="15607FA6" w14:textId="77777777" w:rsidTr="00A42EFE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44926C0" w14:textId="781D13C1" w:rsidR="0097631C" w:rsidRPr="00D03897" w:rsidRDefault="0097631C" w:rsidP="00F17DC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 w:rsidR="001A20CB"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97631C" w:rsidRPr="00D03897" w14:paraId="5665C315" w14:textId="77777777" w:rsidTr="00F17DC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320DCC5C" w14:textId="77777777" w:rsidR="0097631C" w:rsidRPr="00D03897" w:rsidRDefault="0097631C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97631C" w:rsidRPr="00D03897" w14:paraId="74034A3F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8F9D86B" w14:textId="136ACD58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3F047E7" w14:textId="2D77A3F5" w:rsidR="0097631C" w:rsidRPr="00D03897" w:rsidRDefault="001A20CB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Protocolo SICCAU n° </w:t>
            </w:r>
            <w:r w:rsidRPr="00A4001D">
              <w:rPr>
                <w:rFonts w:asciiTheme="majorHAnsi" w:hAnsiTheme="majorHAnsi"/>
                <w:sz w:val="21"/>
                <w:szCs w:val="21"/>
              </w:rPr>
              <w:t>1</w:t>
            </w:r>
            <w:r w:rsidR="009E1232">
              <w:rPr>
                <w:rFonts w:asciiTheme="majorHAnsi" w:hAnsiTheme="majorHAnsi"/>
                <w:sz w:val="21"/>
                <w:szCs w:val="21"/>
              </w:rPr>
              <w:t>312144</w:t>
            </w:r>
            <w:r w:rsidRPr="00A4001D">
              <w:rPr>
                <w:rFonts w:asciiTheme="majorHAnsi" w:hAnsiTheme="majorHAnsi"/>
                <w:sz w:val="21"/>
                <w:szCs w:val="21"/>
              </w:rPr>
              <w:t>/2021</w:t>
            </w:r>
          </w:p>
        </w:tc>
      </w:tr>
      <w:tr w:rsidR="0097631C" w:rsidRPr="00D03897" w14:paraId="0E202D69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D445137" w14:textId="6AB4FDD5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EC8E6A" w14:textId="5A8DBF51" w:rsidR="0097631C" w:rsidRPr="00D03897" w:rsidRDefault="009E1232" w:rsidP="0063335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SETOR DE RRT EXTEMPORÂNEO DO CAU/MG</w:t>
            </w:r>
          </w:p>
        </w:tc>
      </w:tr>
      <w:tr w:rsidR="0097631C" w:rsidRPr="00D03897" w14:paraId="1042278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37AD1C4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9CE0929" w14:textId="1D386BA0" w:rsidR="0097631C" w:rsidRPr="00D03897" w:rsidRDefault="0097631C" w:rsidP="00265522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CONSELHEIRO </w:t>
            </w:r>
            <w:r w:rsidR="006B4834" w:rsidRPr="006B4834">
              <w:rPr>
                <w:rFonts w:asciiTheme="majorHAnsi" w:hAnsiTheme="majorHAnsi" w:cs="Times New Roman"/>
                <w:sz w:val="21"/>
                <w:szCs w:val="21"/>
              </w:rPr>
              <w:t>LUCAS LIMA LEONEL FONSECA</w:t>
            </w:r>
          </w:p>
        </w:tc>
      </w:tr>
      <w:tr w:rsidR="0097631C" w:rsidRPr="00D03897" w14:paraId="769B79F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4F315A9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C92CBA7" w14:textId="15D17CA1" w:rsidR="0097631C" w:rsidRPr="00D03897" w:rsidRDefault="005C18F1" w:rsidP="00B0240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25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/0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/202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</w:tbl>
    <w:p w14:paraId="45A2F0B1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0AE84DAE" w14:textId="4595E86A" w:rsidR="009E1232" w:rsidRDefault="0097631C" w:rsidP="009E123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Trata-se </w:t>
      </w:r>
      <w:r w:rsidR="00D80D73">
        <w:rPr>
          <w:rFonts w:asciiTheme="majorHAnsi" w:hAnsiTheme="majorHAnsi" w:cs="Times New Roman"/>
          <w:sz w:val="21"/>
          <w:szCs w:val="21"/>
        </w:rPr>
        <w:t xml:space="preserve">de consulta sobre atribuições profissionais, encaminhada </w:t>
      </w:r>
      <w:r w:rsidR="009E1232">
        <w:rPr>
          <w:rFonts w:asciiTheme="majorHAnsi" w:hAnsiTheme="majorHAnsi" w:cs="Times New Roman"/>
          <w:sz w:val="21"/>
          <w:szCs w:val="21"/>
        </w:rPr>
        <w:t xml:space="preserve">por meio de </w:t>
      </w:r>
      <w:r w:rsidR="009E1232" w:rsidRPr="009E1232">
        <w:rPr>
          <w:rFonts w:asciiTheme="majorHAnsi" w:hAnsiTheme="majorHAnsi" w:cs="Times New Roman"/>
          <w:sz w:val="21"/>
          <w:szCs w:val="21"/>
        </w:rPr>
        <w:t>mensagem eletrônica, datada de 7 de abril de 2021, em que a Gerência Técnica do CAU/MG encaminha consulta sobre a atribuição de arquitetos e urbanistas para as atividades abaixo descritas, recebidas em solicitação de RRT Extemporâneo, quais sejam:</w:t>
      </w:r>
    </w:p>
    <w:p w14:paraId="23020D44" w14:textId="77777777" w:rsidR="009E1232" w:rsidRDefault="009E1232" w:rsidP="009E123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0CF8BF9D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9E1232">
        <w:rPr>
          <w:rFonts w:ascii="Cambria" w:hAnsi="Cambria"/>
          <w:i/>
          <w:color w:val="000000"/>
          <w:sz w:val="21"/>
          <w:szCs w:val="21"/>
        </w:rPr>
        <w:t xml:space="preserve"> “Estudo de emissão de poluentes para propostas do Plano de Mobilidade de Itabirito, MG.</w:t>
      </w:r>
    </w:p>
    <w:p w14:paraId="3DDBB4BD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9E1232">
        <w:rPr>
          <w:rFonts w:ascii="Cambria" w:hAnsi="Cambria"/>
          <w:i/>
          <w:color w:val="000000"/>
          <w:sz w:val="21"/>
          <w:szCs w:val="21"/>
        </w:rPr>
        <w:t xml:space="preserve">· Estudo realizou a quantificação da poluição atmosférica provocada pelo tráfego na região de </w:t>
      </w:r>
      <w:proofErr w:type="spellStart"/>
      <w:proofErr w:type="gramStart"/>
      <w:r w:rsidRPr="009E1232">
        <w:rPr>
          <w:rFonts w:ascii="Cambria" w:hAnsi="Cambria"/>
          <w:i/>
          <w:color w:val="000000"/>
          <w:sz w:val="21"/>
          <w:szCs w:val="21"/>
        </w:rPr>
        <w:t>Itabirito,MG</w:t>
      </w:r>
      <w:proofErr w:type="spellEnd"/>
      <w:proofErr w:type="gramEnd"/>
      <w:r w:rsidRPr="009E1232">
        <w:rPr>
          <w:rFonts w:ascii="Cambria" w:hAnsi="Cambria"/>
          <w:i/>
          <w:color w:val="000000"/>
          <w:sz w:val="21"/>
          <w:szCs w:val="21"/>
        </w:rPr>
        <w:t xml:space="preserve">, cidade com 45.000 habitantes (IBGE, 2010). Este tipo de análise é essencial para estudos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decaráter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ambiental, viabilidade económica, planejamento urbano e soluções viárias.</w:t>
      </w:r>
    </w:p>
    <w:p w14:paraId="30B1942C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9E1232">
        <w:rPr>
          <w:rFonts w:ascii="Cambria" w:hAnsi="Cambria"/>
          <w:i/>
          <w:color w:val="000000"/>
          <w:sz w:val="21"/>
          <w:szCs w:val="21"/>
        </w:rPr>
        <w:t xml:space="preserve">· Estudo apresentou resultados da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microssimulação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de tráfego através do software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Aimsun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no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quetange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à verificação da emissão de gases por veículos na região central da cidade de Itabirito - MG.</w:t>
      </w:r>
    </w:p>
    <w:p w14:paraId="278E29D6" w14:textId="20C3AC9E" w:rsidR="009E1232" w:rsidRDefault="009E1232" w:rsidP="009E1232">
      <w:pPr>
        <w:pStyle w:val="TextosemFormatao"/>
        <w:spacing w:line="360" w:lineRule="auto"/>
        <w:ind w:left="709"/>
        <w:jc w:val="both"/>
        <w:rPr>
          <w:rFonts w:ascii="Cambria" w:hAnsi="Cambria"/>
          <w:i/>
          <w:color w:val="000000"/>
          <w:sz w:val="21"/>
          <w:szCs w:val="21"/>
        </w:rPr>
      </w:pPr>
      <w:r w:rsidRPr="009E1232">
        <w:rPr>
          <w:rFonts w:ascii="Cambria" w:hAnsi="Cambria"/>
          <w:i/>
          <w:color w:val="000000"/>
          <w:sz w:val="21"/>
          <w:szCs w:val="21"/>
        </w:rPr>
        <w:t xml:space="preserve">· Software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Aimsun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incorpora o modelo de emissão instantânea de poluentes à ferramenta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demicrossimulação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de tráfego, possibilitando avaliar os estados de deslocamento dos veículos,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comovelocidade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, aceleração, desaceleração, declive e aclive, permitindo assim avaliar os impactos </w:t>
      </w:r>
      <w:proofErr w:type="spellStart"/>
      <w:r w:rsidRPr="009E1232">
        <w:rPr>
          <w:rFonts w:ascii="Cambria" w:hAnsi="Cambria"/>
          <w:i/>
          <w:color w:val="000000"/>
          <w:sz w:val="21"/>
          <w:szCs w:val="21"/>
        </w:rPr>
        <w:t>dacondição</w:t>
      </w:r>
      <w:proofErr w:type="spellEnd"/>
      <w:r w:rsidRPr="009E1232">
        <w:rPr>
          <w:rFonts w:ascii="Cambria" w:hAnsi="Cambria"/>
          <w:i/>
          <w:color w:val="000000"/>
          <w:sz w:val="21"/>
          <w:szCs w:val="21"/>
        </w:rPr>
        <w:t xml:space="preserve"> do tráfego na emissão de poluentes.</w:t>
      </w:r>
    </w:p>
    <w:p w14:paraId="02A32974" w14:textId="380D2EC2" w:rsidR="009E1232" w:rsidRDefault="009E1232" w:rsidP="009E123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O detalhamento das </w:t>
      </w:r>
      <w:r w:rsidRPr="009E1232">
        <w:rPr>
          <w:rFonts w:asciiTheme="majorHAnsi" w:hAnsiTheme="majorHAnsi" w:cs="Times New Roman"/>
          <w:sz w:val="21"/>
          <w:szCs w:val="21"/>
        </w:rPr>
        <w:t>atividades</w:t>
      </w:r>
      <w:r>
        <w:rPr>
          <w:rFonts w:asciiTheme="majorHAnsi" w:hAnsiTheme="majorHAnsi" w:cs="Times New Roman"/>
          <w:sz w:val="21"/>
          <w:szCs w:val="21"/>
        </w:rPr>
        <w:t xml:space="preserve"> técnicas resta</w:t>
      </w:r>
      <w:r w:rsidRPr="009E1232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>discriminado no</w:t>
      </w:r>
      <w:r w:rsidRPr="009E1232">
        <w:rPr>
          <w:rFonts w:asciiTheme="majorHAnsi" w:hAnsiTheme="majorHAnsi" w:cs="Times New Roman"/>
          <w:sz w:val="21"/>
          <w:szCs w:val="21"/>
        </w:rPr>
        <w:t xml:space="preserve"> projeto, como segue:</w:t>
      </w:r>
    </w:p>
    <w:p w14:paraId="6CC78FF5" w14:textId="77777777" w:rsidR="009E1232" w:rsidRDefault="009E1232" w:rsidP="009E123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4879F61F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color w:val="000000"/>
          <w:sz w:val="21"/>
          <w:szCs w:val="21"/>
        </w:rPr>
      </w:pPr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“a) Definição do perímetro de estudo: análise para definição da região de análise, tendo sido eleita toda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aregião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central da cidade, incorporando vias que concentram mais de 80% do tráfego diário.</w:t>
      </w:r>
    </w:p>
    <w:p w14:paraId="09E3D8D6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color w:val="000000"/>
          <w:sz w:val="21"/>
          <w:szCs w:val="21"/>
        </w:rPr>
      </w:pPr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b) Pesquisas de tráfego: foram definidos 7 (sete) pontos de pesquisa para Contagem Classificada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deVeículos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>, durante 6 (seis) horas de um dia típico.</w:t>
      </w:r>
    </w:p>
    <w:p w14:paraId="05023E7F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color w:val="000000"/>
          <w:sz w:val="21"/>
          <w:szCs w:val="21"/>
        </w:rPr>
      </w:pPr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c) Modelagem da rede de tráfego: para modelagem da área central de Itabirito, foi utilizado o software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demicrossimulação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Almsum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. O software reproduz o comportamento individual de cada </w:t>
      </w:r>
      <w:proofErr w:type="spellStart"/>
      <w:proofErr w:type="gramStart"/>
      <w:r w:rsidRPr="009E1232">
        <w:rPr>
          <w:rFonts w:asciiTheme="majorHAnsi" w:hAnsiTheme="majorHAnsi"/>
          <w:i/>
          <w:color w:val="000000"/>
          <w:sz w:val="21"/>
          <w:szCs w:val="21"/>
        </w:rPr>
        <w:t>motorista,atacando</w:t>
      </w:r>
      <w:proofErr w:type="spellEnd"/>
      <w:proofErr w:type="gram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de forma aleatória e probabilística diferentes tipos de condutores em veículos distintos.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Osoftware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é o único do mercado chie integra os modelos de Macro/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Meso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e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Microssimulação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de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tráfegono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mesmo ambiente, permitindo estudos mais rápidos e precisos, facilitando a identificação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dosconflitos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e garantindo a eficiência das soluções propostas e soluções de tráfego.</w:t>
      </w:r>
    </w:p>
    <w:p w14:paraId="42243CD1" w14:textId="77777777" w:rsidR="009E1232" w:rsidRPr="009E1232" w:rsidRDefault="009E1232" w:rsidP="009E1232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color w:val="000000"/>
          <w:sz w:val="21"/>
          <w:szCs w:val="21"/>
        </w:rPr>
      </w:pPr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d) Indicadores de poluentes: foram analisados os níveis de emissão de gases poluentes,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comdestaque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para gases de efeito estufa. Foram analisados níveis de dióxido de carbono (CO2),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óxidosde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nitrogênio (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NOx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), material particulado, compostos orgânicos voláteis (VOC). Os indicadores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foramanalisados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para o cenário atual (nos picos do almoço e da tarde), cenário tendencial (15 anos)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ecenários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futuros. Para </w:t>
      </w:r>
      <w:r w:rsidRPr="009E1232">
        <w:rPr>
          <w:rFonts w:asciiTheme="majorHAnsi" w:hAnsiTheme="majorHAnsi"/>
          <w:i/>
          <w:color w:val="000000"/>
          <w:sz w:val="21"/>
          <w:szCs w:val="21"/>
        </w:rPr>
        <w:lastRenderedPageBreak/>
        <w:t xml:space="preserve">os cenários futuros, foram analisadas separadamente cada uma das </w:t>
      </w:r>
      <w:proofErr w:type="spellStart"/>
      <w:r w:rsidRPr="009E1232">
        <w:rPr>
          <w:rFonts w:asciiTheme="majorHAnsi" w:hAnsiTheme="majorHAnsi"/>
          <w:i/>
          <w:color w:val="000000"/>
          <w:sz w:val="21"/>
          <w:szCs w:val="21"/>
        </w:rPr>
        <w:t>propostasde</w:t>
      </w:r>
      <w:proofErr w:type="spellEnd"/>
      <w:r w:rsidRPr="009E1232">
        <w:rPr>
          <w:rFonts w:asciiTheme="majorHAnsi" w:hAnsiTheme="majorHAnsi"/>
          <w:i/>
          <w:color w:val="000000"/>
          <w:sz w:val="21"/>
          <w:szCs w:val="21"/>
        </w:rPr>
        <w:t xml:space="preserve"> intervenção previstas no PAIT (Plano de Ação Imediata de Trânsito) de Itabirito, concluído em2015.”</w:t>
      </w:r>
    </w:p>
    <w:p w14:paraId="75226123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LEGAL</w:t>
      </w:r>
    </w:p>
    <w:p w14:paraId="42F575C6" w14:textId="7E99147E" w:rsidR="0097631C" w:rsidRDefault="0097631C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D03897">
        <w:rPr>
          <w:rFonts w:asciiTheme="majorHAnsi" w:hAnsiTheme="majorHAnsi" w:cs="Times New Roman"/>
          <w:sz w:val="21"/>
          <w:szCs w:val="21"/>
        </w:rPr>
        <w:t>CAUs</w:t>
      </w:r>
      <w:proofErr w:type="spellEnd"/>
      <w:r w:rsidRPr="00D03897">
        <w:rPr>
          <w:rFonts w:asciiTheme="majorHAnsi" w:hAnsiTheme="majorHAnsi" w:cs="Times New Roman"/>
          <w:sz w:val="21"/>
          <w:szCs w:val="21"/>
        </w:rPr>
        <w:t>; e dá outras providências;</w:t>
      </w:r>
    </w:p>
    <w:p w14:paraId="51B434A9" w14:textId="522CB49F" w:rsidR="00204C61" w:rsidRDefault="00301364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2012, que regulamenta o art. 2º da Lei 12.378, de 2010, e tipifica as atividades técnicas de atribuição dos arquitetos e urbanistas para fins de Registro de Responsabilidade Técnica (RRT) no CAU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3D9A762A" w14:textId="77777777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Lei Federal nº 9.784, de 29 de janeiro de 1999, que regula o processo administrativo no âmbito da Administração Pública Federal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69B410BB" w14:textId="77777777" w:rsidR="005C18F1" w:rsidRPr="00D03897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Resolução CNE/SES n° 02, de 17 de junho de 2010 e suas alterações posteriores, que institui as Diretrizes Curriculares Nacionais dos Cursos de Graduação em Arquitetura e Urbanismo no Brasil.</w:t>
      </w:r>
    </w:p>
    <w:p w14:paraId="744DF873" w14:textId="0397955E" w:rsidR="0097631C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TEMÁTICA</w:t>
      </w:r>
    </w:p>
    <w:p w14:paraId="1F2EBDFA" w14:textId="688AA43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9D16164" w14:textId="3E6D862C" w:rsidR="00517A0C" w:rsidRPr="00517A0C" w:rsidRDefault="00517A0C" w:rsidP="00517A0C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Considerando que o </w:t>
      </w:r>
      <w:r w:rsidRPr="00517A0C">
        <w:rPr>
          <w:rFonts w:asciiTheme="majorHAnsi" w:hAnsiTheme="majorHAnsi" w:cs="Times New Roman"/>
          <w:sz w:val="21"/>
          <w:szCs w:val="21"/>
        </w:rPr>
        <w:t>Parágrafo único</w:t>
      </w:r>
      <w:r>
        <w:rPr>
          <w:rFonts w:asciiTheme="majorHAnsi" w:hAnsiTheme="majorHAnsi" w:cs="Times New Roman"/>
          <w:sz w:val="21"/>
          <w:szCs w:val="21"/>
        </w:rPr>
        <w:t xml:space="preserve"> do </w:t>
      </w:r>
      <w:r w:rsidRPr="00517A0C">
        <w:rPr>
          <w:rFonts w:asciiTheme="majorHAnsi" w:hAnsiTheme="majorHAnsi" w:cs="Times New Roman"/>
          <w:sz w:val="21"/>
          <w:szCs w:val="21"/>
        </w:rPr>
        <w:t>Art. 2º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D80D73">
        <w:rPr>
          <w:rFonts w:asciiTheme="majorHAnsi" w:hAnsiTheme="majorHAnsi" w:cs="Times New Roman"/>
          <w:sz w:val="21"/>
          <w:szCs w:val="21"/>
        </w:rPr>
        <w:t>Lei Federal nº 12.378/2010</w:t>
      </w:r>
      <w:r>
        <w:rPr>
          <w:rFonts w:asciiTheme="majorHAnsi" w:hAnsiTheme="majorHAnsi" w:cs="Times New Roman"/>
          <w:sz w:val="21"/>
          <w:szCs w:val="21"/>
        </w:rPr>
        <w:t>, que dispõe</w:t>
      </w:r>
      <w:r w:rsidRPr="00517A0C">
        <w:rPr>
          <w:rFonts w:asciiTheme="majorHAnsi" w:hAnsiTheme="majorHAnsi" w:cs="Times New Roman"/>
          <w:sz w:val="21"/>
          <w:szCs w:val="21"/>
        </w:rPr>
        <w:t xml:space="preserve"> sobre as atividades e atribuições deste profissional</w:t>
      </w:r>
      <w:r>
        <w:rPr>
          <w:rFonts w:asciiTheme="majorHAnsi" w:hAnsiTheme="majorHAnsi" w:cs="Times New Roman"/>
          <w:sz w:val="21"/>
          <w:szCs w:val="21"/>
        </w:rPr>
        <w:t>,</w:t>
      </w:r>
      <w:r w:rsidRPr="00517A0C">
        <w:rPr>
          <w:rFonts w:asciiTheme="majorHAnsi" w:hAnsiTheme="majorHAnsi" w:cs="Times New Roman"/>
          <w:sz w:val="21"/>
          <w:szCs w:val="21"/>
        </w:rPr>
        <w:t xml:space="preserve"> relaciona </w:t>
      </w:r>
      <w:r>
        <w:rPr>
          <w:rFonts w:asciiTheme="majorHAnsi" w:hAnsiTheme="majorHAnsi" w:cs="Times New Roman"/>
          <w:sz w:val="21"/>
          <w:szCs w:val="21"/>
        </w:rPr>
        <w:t>os</w:t>
      </w:r>
      <w:r w:rsidRPr="00517A0C">
        <w:rPr>
          <w:rFonts w:asciiTheme="majorHAnsi" w:hAnsiTheme="majorHAnsi" w:cs="Times New Roman"/>
          <w:sz w:val="21"/>
          <w:szCs w:val="21"/>
        </w:rPr>
        <w:t xml:space="preserve"> campos de atuação </w:t>
      </w:r>
      <w:r>
        <w:rPr>
          <w:rFonts w:asciiTheme="majorHAnsi" w:hAnsiTheme="majorHAnsi" w:cs="Times New Roman"/>
          <w:sz w:val="21"/>
          <w:szCs w:val="21"/>
        </w:rPr>
        <w:t>profissional</w:t>
      </w:r>
      <w:r w:rsidRPr="00517A0C">
        <w:rPr>
          <w:rFonts w:asciiTheme="majorHAnsi" w:hAnsiTheme="majorHAnsi" w:cs="Times New Roman"/>
          <w:sz w:val="21"/>
          <w:szCs w:val="21"/>
        </w:rPr>
        <w:t>, dentre os quais, destacamos:</w:t>
      </w:r>
    </w:p>
    <w:p w14:paraId="70923ABA" w14:textId="77777777" w:rsidR="00517A0C" w:rsidRDefault="00517A0C" w:rsidP="00517A0C">
      <w:pPr>
        <w:pStyle w:val="TextosemFormatao"/>
        <w:spacing w:line="360" w:lineRule="auto"/>
        <w:jc w:val="both"/>
      </w:pPr>
    </w:p>
    <w:p w14:paraId="34E3E616" w14:textId="77777777" w:rsidR="00517A0C" w:rsidRPr="00F67F15" w:rsidRDefault="00517A0C" w:rsidP="00517A0C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sz w:val="21"/>
          <w:szCs w:val="21"/>
        </w:rPr>
      </w:pPr>
      <w:r w:rsidRPr="00F67F15">
        <w:rPr>
          <w:rFonts w:asciiTheme="majorHAnsi" w:hAnsiTheme="majorHAnsi"/>
          <w:i/>
          <w:color w:val="000000"/>
          <w:sz w:val="21"/>
          <w:szCs w:val="21"/>
        </w:rPr>
        <w:t xml:space="preserve">V - do Planejamento Urbano e Regional, planejamento físico-territorial, planos de intervenção no espaço urbano, metropolitano e regional fundamentados nos sistemas de infraestrutura, saneamento básico e ambiental, </w:t>
      </w:r>
      <w:r w:rsidRPr="00F67F15">
        <w:rPr>
          <w:rFonts w:asciiTheme="majorHAnsi" w:hAnsiTheme="majorHAnsi"/>
          <w:b/>
          <w:i/>
          <w:color w:val="000000"/>
          <w:sz w:val="21"/>
          <w:szCs w:val="21"/>
        </w:rPr>
        <w:t>sistema viário, sinalização, tráfego e trânsito urbano e rural</w:t>
      </w:r>
      <w:r w:rsidRPr="00F67F15">
        <w:rPr>
          <w:rFonts w:asciiTheme="majorHAnsi" w:hAnsiTheme="majorHAnsi"/>
          <w:i/>
          <w:color w:val="000000"/>
          <w:sz w:val="21"/>
          <w:szCs w:val="21"/>
        </w:rPr>
        <w:t xml:space="preserve"> </w:t>
      </w:r>
      <w:r w:rsidRPr="00F67F15">
        <w:rPr>
          <w:rFonts w:asciiTheme="majorHAnsi" w:hAnsiTheme="majorHAnsi"/>
          <w:color w:val="000000"/>
          <w:sz w:val="21"/>
          <w:szCs w:val="21"/>
        </w:rPr>
        <w:t>[grifos nossos]</w:t>
      </w:r>
      <w:r w:rsidRPr="00F67F15">
        <w:rPr>
          <w:rFonts w:asciiTheme="majorHAnsi" w:hAnsiTheme="majorHAnsi"/>
          <w:i/>
          <w:color w:val="000000"/>
          <w:sz w:val="21"/>
          <w:szCs w:val="21"/>
        </w:rPr>
        <w:t>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</w:t>
      </w:r>
    </w:p>
    <w:p w14:paraId="3B6BCB01" w14:textId="0052D8F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D771698" w14:textId="77777777" w:rsidR="00AC4BEB" w:rsidRPr="00F67F15" w:rsidRDefault="00AC4BEB" w:rsidP="00AC4BEB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F67F15">
        <w:rPr>
          <w:rFonts w:asciiTheme="majorHAnsi" w:hAnsiTheme="majorHAnsi" w:cs="Times New Roman"/>
          <w:sz w:val="21"/>
          <w:szCs w:val="21"/>
        </w:rPr>
        <w:t>Considerando art. 3º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</w:t>
      </w:r>
      <w:r>
        <w:rPr>
          <w:rFonts w:asciiTheme="majorHAnsi" w:hAnsiTheme="majorHAnsi" w:cs="Times New Roman"/>
          <w:sz w:val="21"/>
          <w:szCs w:val="21"/>
        </w:rPr>
        <w:t>, que detalha</w:t>
      </w:r>
      <w:r w:rsidRPr="00F67F15">
        <w:rPr>
          <w:rFonts w:asciiTheme="majorHAnsi" w:hAnsiTheme="majorHAnsi" w:cs="Times New Roman"/>
          <w:sz w:val="21"/>
          <w:szCs w:val="21"/>
        </w:rPr>
        <w:t xml:space="preserve"> o rol de as atividades técnicas de atribuições profissionais do arquiteto e urbanista para fins de Registro de Responsabilidade Técnica (RRT), dentre os quais, destacamos os itens a seguir:</w:t>
      </w:r>
    </w:p>
    <w:p w14:paraId="228C18B3" w14:textId="77777777" w:rsidR="00F67F15" w:rsidRDefault="00F67F15" w:rsidP="00F67F15">
      <w:pPr>
        <w:pStyle w:val="TextosemFormatao"/>
        <w:spacing w:line="360" w:lineRule="auto"/>
        <w:jc w:val="both"/>
      </w:pPr>
    </w:p>
    <w:p w14:paraId="739C5DF8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sz w:val="21"/>
          <w:szCs w:val="21"/>
        </w:rPr>
        <w:tab/>
      </w: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  PROJETO</w:t>
      </w:r>
    </w:p>
    <w:p w14:paraId="50CDF638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1.8.   URBANISMO E DESENHO URBANO</w:t>
      </w:r>
    </w:p>
    <w:p w14:paraId="086B9764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>1.8.7. Projeto de sistema viário e acessibilidade;</w:t>
      </w:r>
    </w:p>
    <w:p w14:paraId="229B9106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1.8.8. Projeto especializado de tráfego e trânsito de veículos e sistemas de estacionamento;</w:t>
      </w:r>
    </w:p>
    <w:p w14:paraId="451767C6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DF4F38B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2.  EXECUÇÃO</w:t>
      </w:r>
    </w:p>
    <w:p w14:paraId="292FE274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2.7.   URBANISMO E DESENHO URBANO</w:t>
      </w:r>
    </w:p>
    <w:p w14:paraId="2D0F5681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</w:rPr>
        <w:t>2.7.4. Implantação de sistema especializado de tráfego e trânsito de veículos e sistemas de estacionamento;</w:t>
      </w:r>
    </w:p>
    <w:p w14:paraId="40766EF3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2.7.5. Execução de sistema viário e acessibilidade;</w:t>
      </w:r>
    </w:p>
    <w:p w14:paraId="1A8B432F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</w:p>
    <w:p w14:paraId="6B9D32EB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  MEIO AMBIENTE E PLANEJAMENTO REGIONAL E URBANO</w:t>
      </w:r>
    </w:p>
    <w:p w14:paraId="08B76134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4.2.   MEIO AMBIENTE</w:t>
      </w:r>
    </w:p>
    <w:p w14:paraId="7E18B6DE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4.2.4. Estudo de Impacto de Vizinhança – EIV;</w:t>
      </w:r>
    </w:p>
    <w:p w14:paraId="152C5E95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4.2.6. Estudo de Impacto Ambiental – Relatório de Impacto no Meio Ambiente – EIA – RIMA;</w:t>
      </w:r>
    </w:p>
    <w:p w14:paraId="62353E63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FA74803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4.3.   PLANEJAMENTO REGIONAL</w:t>
      </w:r>
    </w:p>
    <w:p w14:paraId="3F827215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4.3.6. Plano de desenvolvimento de região integrada – RIDE;</w:t>
      </w:r>
    </w:p>
    <w:p w14:paraId="0A5F650D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4.3.7. Plano diretor de mobilidade e transporte;</w:t>
      </w:r>
    </w:p>
    <w:p w14:paraId="08B459E6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9E98C8C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4.4.   PLANEJAMENTO URBANO</w:t>
      </w:r>
    </w:p>
    <w:p w14:paraId="5FC18EFB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4.4.2. Diagnóstico físico-territorial, socioeconômico e ambiental;</w:t>
      </w:r>
    </w:p>
    <w:p w14:paraId="1F970EE6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4.4.3. Planejamento setorial urbano;</w:t>
      </w:r>
    </w:p>
    <w:p w14:paraId="01234D9F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4.4.8. Plano diretor de mobilidade e transporte;</w:t>
      </w:r>
    </w:p>
    <w:p w14:paraId="4BF3F74B" w14:textId="77777777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bookmarkStart w:id="0" w:name="_Hlk102569292"/>
      <w:bookmarkStart w:id="1" w:name="_Hlk102567522"/>
      <w:r w:rsidRPr="00D80D73">
        <w:rPr>
          <w:rFonts w:asciiTheme="majorHAnsi" w:hAnsiTheme="majorHAnsi" w:cs="Times New Roman"/>
          <w:sz w:val="21"/>
          <w:szCs w:val="21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bookmarkEnd w:id="0"/>
    <w:p w14:paraId="3BD46536" w14:textId="464A3C36" w:rsidR="005C18F1" w:rsidRDefault="005C18F1" w:rsidP="005C18F1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Considerando </w:t>
      </w:r>
      <w:bookmarkStart w:id="2" w:name="_Hlk102569273"/>
      <w:r>
        <w:rPr>
          <w:rFonts w:asciiTheme="majorHAnsi" w:hAnsiTheme="majorHAnsi" w:cs="Times New Roman"/>
          <w:sz w:val="21"/>
          <w:szCs w:val="21"/>
        </w:rPr>
        <w:t xml:space="preserve">art. 5° das </w:t>
      </w:r>
      <w:bookmarkEnd w:id="2"/>
      <w:r>
        <w:rPr>
          <w:rFonts w:asciiTheme="majorHAnsi" w:hAnsiTheme="majorHAnsi" w:cs="Times New Roman"/>
          <w:sz w:val="21"/>
          <w:szCs w:val="21"/>
        </w:rPr>
        <w:t>Diretrizes Curriculares Nacionais para os cursos de graduação em Arquitetura e Urbanismo, aprovadas pela Resolução CNE/SES n° 02/2010, que dispõe, grifos nossos:</w:t>
      </w:r>
    </w:p>
    <w:p w14:paraId="27F56599" w14:textId="77777777" w:rsidR="005C18F1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EFFC043" w14:textId="34FEA464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247F87DC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 - o conhecimento dos aspectos antropológicos, sociológicos e econômicos relevantes e de todo o espectro de necessidades, aspirações e expectativas individuais e coletivas quanto ao ambiente construído; </w:t>
      </w:r>
    </w:p>
    <w:p w14:paraId="4B8BBB44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 - a compreensão das questões que informam as ações de preservação da paisagem e de avaliação dos impactos no meio ambiente, com vistas ao equilíbrio ecológico e ao desenvolvimento sustentável; </w:t>
      </w:r>
    </w:p>
    <w:p w14:paraId="4A9C1052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III - 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 </w:t>
      </w:r>
    </w:p>
    <w:p w14:paraId="602AF3DA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IV - o conhecimento da história das artes e da estética, suscetível de influenciar a qualidade da concepção e da prática de arquitetura, urbanismo e paisagismo; </w:t>
      </w:r>
    </w:p>
    <w:p w14:paraId="6AD9D8C5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 - os conhecimentos de teoria e de história da arquitetura, do urbanismo e do paisagismo, considerando sua produção no contexto social, cultural, político e econômico e tendo como objetivo a reflexão crítica e a pesquisa; </w:t>
      </w:r>
    </w:p>
    <w:p w14:paraId="425DF0F5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 </w:t>
      </w:r>
    </w:p>
    <w:p w14:paraId="28F1B65B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 - os conhecimentos especializados para o emprego adequado e econômico dos materiais de construção e das técnicas e sistemas construtivos, para a definição de </w:t>
      </w:r>
      <w:proofErr w:type="gramStart"/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instalações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e</w:t>
      </w:r>
      <w:proofErr w:type="gramEnd"/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equipamentos prediais, para a organização de obras e canteiros e para a implantação de infraestrutura urbana; </w:t>
      </w:r>
    </w:p>
    <w:p w14:paraId="5BED823F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VIII - a compreensão dos sistemas estruturais e o domínio da concepção e do projeto estrutural, tendo por fundamento os estudos de resistência dos materiais, estabilidade das construções e fundações; </w:t>
      </w:r>
    </w:p>
    <w:p w14:paraId="41AA85C6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IX - o entendimento das condições climáticas, acústicas, lumínicas e energéticas e o domínio das técnicas apropriadas a elas associadas; </w:t>
      </w:r>
    </w:p>
    <w:p w14:paraId="45DAE36E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 - as práticas projetuais e as soluções tecnológicas para a preservação, conservação, restauração, reconstrução, reabilitação e reutilização de edificações, conjuntos e cidades; </w:t>
      </w:r>
    </w:p>
    <w:p w14:paraId="7953DF61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 - as habilidades de desenho e o domínio da geometria, de suas aplicações e de outros meios de expressão e representação, tais como perspectiva, modelagem, maquetes, modelos e imagens virtuais; </w:t>
      </w:r>
    </w:p>
    <w:p w14:paraId="21AD8613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XII - o conhecimento dos instrumentais de informática para tratamento de informações e representação aplicada à arquitetura, ao urbanismo, ao paisagismo e ao planejamento urbano e regional; </w:t>
      </w:r>
    </w:p>
    <w:p w14:paraId="18FD47DE" w14:textId="77777777" w:rsidR="005C18F1" w:rsidRPr="006F389E" w:rsidRDefault="005C18F1" w:rsidP="005C18F1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>XIII - 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regional.</w:t>
      </w:r>
    </w:p>
    <w:bookmarkEnd w:id="1"/>
    <w:p w14:paraId="3157BB02" w14:textId="5766A9DF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1C14B809" w14:textId="13909FEF" w:rsidR="001253DF" w:rsidRPr="001253DF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Considerando Deliberação n° 145.3.8/2021 – CEF-CAU/MG, na qual a Comissão de Ensino e Formação do CAU/MG manifesta o entendimento </w:t>
      </w:r>
      <w:r w:rsidRPr="001253DF">
        <w:rPr>
          <w:rFonts w:asciiTheme="majorHAnsi" w:hAnsiTheme="majorHAnsi" w:cs="Times New Roman"/>
          <w:sz w:val="21"/>
          <w:szCs w:val="21"/>
        </w:rPr>
        <w:t xml:space="preserve">de que, conforme disposto nos normativos acima mencionados, o </w:t>
      </w:r>
      <w:r w:rsidRPr="001253DF">
        <w:rPr>
          <w:rFonts w:asciiTheme="majorHAnsi" w:hAnsiTheme="majorHAnsi" w:cs="Times New Roman"/>
          <w:sz w:val="21"/>
          <w:szCs w:val="21"/>
        </w:rPr>
        <w:lastRenderedPageBreak/>
        <w:t>profissional arquiteto e urbanista possui atribuição legal para ser responsável técnico por serviços de elaboração de estudos de emissão de poluentes para propostas de Plano de Mobilidade Urbana</w:t>
      </w:r>
      <w:r>
        <w:rPr>
          <w:rFonts w:asciiTheme="majorHAnsi" w:hAnsiTheme="majorHAnsi" w:cs="Times New Roman"/>
          <w:sz w:val="21"/>
          <w:szCs w:val="21"/>
        </w:rPr>
        <w:t>.</w:t>
      </w:r>
    </w:p>
    <w:p w14:paraId="58392456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RELATÓRIO</w:t>
      </w:r>
    </w:p>
    <w:p w14:paraId="77B33729" w14:textId="77777777" w:rsidR="001253DF" w:rsidRPr="00774982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31582352" w14:textId="77777777" w:rsidR="001253DF" w:rsidRPr="00774982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1D4FCB58" w14:textId="77777777" w:rsidR="001253DF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774982">
          <w:rPr>
            <w:rFonts w:asciiTheme="majorHAnsi" w:hAnsiTheme="majorHAnsi" w:cs="Times New Roman"/>
            <w:sz w:val="21"/>
            <w:szCs w:val="21"/>
          </w:rPr>
          <w:t>Código de Ética e Disciplina do CAU/BR</w:t>
        </w:r>
      </w:hyperlink>
      <w:r w:rsidRPr="00774982">
        <w:rPr>
          <w:rFonts w:asciiTheme="majorHAnsi" w:hAnsiTheme="majorHAnsi" w:cs="Times New Roman"/>
          <w:sz w:val="21"/>
          <w:szCs w:val="21"/>
        </w:rPr>
        <w:t>. </w:t>
      </w:r>
    </w:p>
    <w:p w14:paraId="14EBEFAF" w14:textId="2ADC0E98" w:rsidR="0097631C" w:rsidRPr="00D03897" w:rsidRDefault="0097631C" w:rsidP="00EB226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VOTO</w:t>
      </w:r>
    </w:p>
    <w:p w14:paraId="5A03DF7B" w14:textId="77777777" w:rsidR="001253DF" w:rsidRPr="00D03897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Do exposto, encaminho à deliberação da Comissão de Exercício Profissional do CAU/MG o seguinte parecer:</w:t>
      </w:r>
    </w:p>
    <w:p w14:paraId="256EB3C2" w14:textId="5870F584" w:rsidR="001253DF" w:rsidRPr="001253DF" w:rsidRDefault="001253DF" w:rsidP="001253D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Acompanhar posicionamento da Comissão de Ensino e Formação – CEF-CAU/MG, manifestando entendimento de que, </w:t>
      </w:r>
      <w:r w:rsidRPr="001253DF">
        <w:rPr>
          <w:rFonts w:asciiTheme="majorHAnsi" w:hAnsiTheme="majorHAnsi" w:cs="Times New Roman"/>
          <w:sz w:val="21"/>
          <w:szCs w:val="21"/>
        </w:rPr>
        <w:t>conforme disposto nos normativos acima mencionados, o profissional arquiteto e urbanista possui atribuição legal para ser responsável técnico por serviços de elaboração de estudos de emissão de poluentes para propostas de Plano de Mobilidade Urbana</w:t>
      </w:r>
      <w:r>
        <w:rPr>
          <w:rFonts w:asciiTheme="majorHAnsi" w:hAnsiTheme="majorHAnsi" w:cs="Times New Roman"/>
          <w:sz w:val="21"/>
          <w:szCs w:val="21"/>
        </w:rPr>
        <w:t>.</w:t>
      </w:r>
    </w:p>
    <w:p w14:paraId="428A75B4" w14:textId="03A8B427" w:rsidR="0097631C" w:rsidRPr="00D03897" w:rsidRDefault="001569E9" w:rsidP="00215BE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Belo Horizonte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, </w:t>
      </w:r>
      <w:r w:rsidR="001253DF">
        <w:rPr>
          <w:rFonts w:asciiTheme="majorHAnsi" w:hAnsiTheme="majorHAnsi" w:cs="Times New Roman"/>
          <w:sz w:val="21"/>
          <w:szCs w:val="21"/>
        </w:rPr>
        <w:t>25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</w:t>
      </w:r>
      <w:r>
        <w:rPr>
          <w:rFonts w:asciiTheme="majorHAnsi" w:hAnsiTheme="majorHAnsi" w:cs="Times New Roman"/>
          <w:sz w:val="21"/>
          <w:szCs w:val="21"/>
        </w:rPr>
        <w:t>abril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202</w:t>
      </w:r>
      <w:r>
        <w:rPr>
          <w:rFonts w:asciiTheme="majorHAnsi" w:hAnsiTheme="majorHAnsi" w:cs="Times New Roman"/>
          <w:sz w:val="21"/>
          <w:szCs w:val="21"/>
        </w:rPr>
        <w:t>2</w:t>
      </w:r>
      <w:r w:rsidR="0097631C" w:rsidRPr="00D03897">
        <w:rPr>
          <w:rFonts w:asciiTheme="majorHAnsi" w:hAnsiTheme="majorHAnsi" w:cs="Times New Roman"/>
          <w:sz w:val="21"/>
          <w:szCs w:val="21"/>
        </w:rPr>
        <w:t>.</w:t>
      </w:r>
    </w:p>
    <w:p w14:paraId="54D25DE5" w14:textId="77777777" w:rsidR="0097631C" w:rsidRPr="00D03897" w:rsidRDefault="0097631C" w:rsidP="00136708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</w:p>
    <w:p w14:paraId="2568FC6D" w14:textId="77777777" w:rsidR="0097631C" w:rsidRPr="00D03897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47A89A18" w14:textId="77777777" w:rsidR="0097631C" w:rsidRPr="00D03897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97631C" w:rsidRPr="00D03897" w14:paraId="24E905EF" w14:textId="77777777" w:rsidTr="00136708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C62E9" w14:textId="203DB742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CONSELHEIRO </w:t>
            </w:r>
            <w:r w:rsidR="006B4834" w:rsidRPr="006B4834">
              <w:rPr>
                <w:rFonts w:asciiTheme="majorHAnsi" w:hAnsiTheme="majorHAnsi" w:cs="Times New Roman"/>
                <w:b/>
                <w:sz w:val="21"/>
                <w:szCs w:val="21"/>
              </w:rPr>
              <w:t>LUCAS LIMA LEONEL FONSECA</w:t>
            </w:r>
          </w:p>
          <w:p w14:paraId="03DB5678" w14:textId="77777777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1090FA8F" w14:textId="43A5379A" w:rsidR="0097631C" w:rsidRPr="00D03897" w:rsidRDefault="00204C61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Membro titular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 da Comissão de Exercício Profissional do CAU/MG</w:t>
            </w:r>
          </w:p>
        </w:tc>
      </w:tr>
    </w:tbl>
    <w:p w14:paraId="1A956E54" w14:textId="77777777" w:rsidR="0097631C" w:rsidRPr="00D03897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  <w:sectPr w:rsidR="0097631C" w:rsidRPr="00D03897" w:rsidSect="0097631C">
          <w:headerReference w:type="default" r:id="rId9"/>
          <w:footerReference w:type="default" r:id="rId10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71B65172" w14:textId="7E8CE935" w:rsidR="0097631C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7EDB92EE" w14:textId="77777777" w:rsidR="00002396" w:rsidRDefault="00002396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6F2B340F" w14:textId="77777777" w:rsidR="00002396" w:rsidRDefault="00002396" w:rsidP="0000239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7790B13" w14:textId="77777777" w:rsidR="00002396" w:rsidRDefault="00002396" w:rsidP="00002396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29AAB9D6" w14:textId="77777777" w:rsidR="00002396" w:rsidRDefault="00002396" w:rsidP="00002396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4D2AFA36" w14:textId="77777777" w:rsidR="00002396" w:rsidRDefault="00002396" w:rsidP="00002396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04CDB8AC" w14:textId="77777777" w:rsidR="00002396" w:rsidRDefault="00002396" w:rsidP="0000239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_________________________________________________________________________________</w:t>
      </w:r>
    </w:p>
    <w:p w14:paraId="633243CC" w14:textId="77777777" w:rsidR="00002396" w:rsidRDefault="00002396" w:rsidP="000023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 w:cs="Arial"/>
          <w:sz w:val="20"/>
          <w:szCs w:val="20"/>
          <w:lang w:eastAsia="pt-BR"/>
        </w:rPr>
        <w:t>Darlan Gonçalves de Oliveira</w:t>
      </w:r>
    </w:p>
    <w:p w14:paraId="1A5FD47C" w14:textId="77777777" w:rsidR="00002396" w:rsidRDefault="00002396" w:rsidP="0000239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Arquiteto Analista – Assessor Técnico</w:t>
      </w:r>
    </w:p>
    <w:p w14:paraId="696757AF" w14:textId="77777777" w:rsidR="00002396" w:rsidRDefault="00002396" w:rsidP="0000239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Comissão de Exercício Profissional – CEP-CAU/MG</w:t>
      </w:r>
    </w:p>
    <w:p w14:paraId="6727711C" w14:textId="77777777" w:rsidR="00002396" w:rsidRPr="00D03897" w:rsidRDefault="00002396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sectPr w:rsidR="00002396" w:rsidRPr="00D03897" w:rsidSect="0097631C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2C53" w14:textId="77777777" w:rsidR="00566965" w:rsidRDefault="00566965" w:rsidP="007E22C9">
      <w:r>
        <w:separator/>
      </w:r>
    </w:p>
  </w:endnote>
  <w:endnote w:type="continuationSeparator" w:id="0">
    <w:p w14:paraId="06D8D1BB" w14:textId="77777777" w:rsidR="00566965" w:rsidRDefault="0056696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243" w14:textId="77777777" w:rsidR="0097631C" w:rsidRDefault="0097631C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AFA6A2F" wp14:editId="63C863F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59E3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BBD644" wp14:editId="7817AA58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3B9" w14:textId="77777777" w:rsidR="00566965" w:rsidRDefault="00566965" w:rsidP="007E22C9">
      <w:r>
        <w:separator/>
      </w:r>
    </w:p>
  </w:footnote>
  <w:footnote w:type="continuationSeparator" w:id="0">
    <w:p w14:paraId="63518405" w14:textId="77777777" w:rsidR="00566965" w:rsidRDefault="0056696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EB8D" w14:textId="77777777" w:rsidR="0097631C" w:rsidRDefault="009763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3E296FA" wp14:editId="56C6FD90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4E5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0D5BA" wp14:editId="3003FAD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1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1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1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1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1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1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1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1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1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1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467815845">
    <w:abstractNumId w:val="24"/>
  </w:num>
  <w:num w:numId="2" w16cid:durableId="1147863229">
    <w:abstractNumId w:val="37"/>
  </w:num>
  <w:num w:numId="3" w16cid:durableId="1798983002">
    <w:abstractNumId w:val="6"/>
  </w:num>
  <w:num w:numId="4" w16cid:durableId="614866614">
    <w:abstractNumId w:val="23"/>
  </w:num>
  <w:num w:numId="5" w16cid:durableId="487326800">
    <w:abstractNumId w:val="10"/>
  </w:num>
  <w:num w:numId="6" w16cid:durableId="27722627">
    <w:abstractNumId w:val="4"/>
  </w:num>
  <w:num w:numId="7" w16cid:durableId="1929732818">
    <w:abstractNumId w:val="36"/>
  </w:num>
  <w:num w:numId="8" w16cid:durableId="660079762">
    <w:abstractNumId w:val="1"/>
  </w:num>
  <w:num w:numId="9" w16cid:durableId="816339578">
    <w:abstractNumId w:val="3"/>
  </w:num>
  <w:num w:numId="10" w16cid:durableId="657466739">
    <w:abstractNumId w:val="22"/>
  </w:num>
  <w:num w:numId="11" w16cid:durableId="361244873">
    <w:abstractNumId w:val="34"/>
  </w:num>
  <w:num w:numId="12" w16cid:durableId="888809989">
    <w:abstractNumId w:val="12"/>
  </w:num>
  <w:num w:numId="13" w16cid:durableId="171838815">
    <w:abstractNumId w:val="25"/>
  </w:num>
  <w:num w:numId="14" w16cid:durableId="1990283813">
    <w:abstractNumId w:val="38"/>
  </w:num>
  <w:num w:numId="15" w16cid:durableId="1951350023">
    <w:abstractNumId w:val="16"/>
  </w:num>
  <w:num w:numId="16" w16cid:durableId="383674650">
    <w:abstractNumId w:val="32"/>
  </w:num>
  <w:num w:numId="17" w16cid:durableId="956564528">
    <w:abstractNumId w:val="9"/>
  </w:num>
  <w:num w:numId="18" w16cid:durableId="1837569406">
    <w:abstractNumId w:val="18"/>
  </w:num>
  <w:num w:numId="19" w16cid:durableId="178158959">
    <w:abstractNumId w:val="28"/>
  </w:num>
  <w:num w:numId="20" w16cid:durableId="810556431">
    <w:abstractNumId w:val="15"/>
  </w:num>
  <w:num w:numId="21" w16cid:durableId="904414072">
    <w:abstractNumId w:val="29"/>
  </w:num>
  <w:num w:numId="22" w16cid:durableId="317921285">
    <w:abstractNumId w:val="0"/>
  </w:num>
  <w:num w:numId="23" w16cid:durableId="2022273840">
    <w:abstractNumId w:val="8"/>
  </w:num>
  <w:num w:numId="24" w16cid:durableId="1962835556">
    <w:abstractNumId w:val="35"/>
  </w:num>
  <w:num w:numId="25" w16cid:durableId="1539856456">
    <w:abstractNumId w:val="2"/>
  </w:num>
  <w:num w:numId="26" w16cid:durableId="1172448869">
    <w:abstractNumId w:val="30"/>
  </w:num>
  <w:num w:numId="27" w16cid:durableId="891313383">
    <w:abstractNumId w:val="31"/>
  </w:num>
  <w:num w:numId="28" w16cid:durableId="157884324">
    <w:abstractNumId w:val="27"/>
  </w:num>
  <w:num w:numId="29" w16cid:durableId="912661753">
    <w:abstractNumId w:val="19"/>
  </w:num>
  <w:num w:numId="30" w16cid:durableId="1422263303">
    <w:abstractNumId w:val="21"/>
  </w:num>
  <w:num w:numId="31" w16cid:durableId="282732101">
    <w:abstractNumId w:val="17"/>
  </w:num>
  <w:num w:numId="32" w16cid:durableId="553853221">
    <w:abstractNumId w:val="14"/>
  </w:num>
  <w:num w:numId="33" w16cid:durableId="698045644">
    <w:abstractNumId w:val="26"/>
  </w:num>
  <w:num w:numId="34" w16cid:durableId="1995722583">
    <w:abstractNumId w:val="33"/>
  </w:num>
  <w:num w:numId="35" w16cid:durableId="1667512565">
    <w:abstractNumId w:val="11"/>
  </w:num>
  <w:num w:numId="36" w16cid:durableId="909923224">
    <w:abstractNumId w:val="13"/>
  </w:num>
  <w:num w:numId="37" w16cid:durableId="1776511419">
    <w:abstractNumId w:val="5"/>
  </w:num>
  <w:num w:numId="38" w16cid:durableId="842478157">
    <w:abstractNumId w:val="20"/>
  </w:num>
  <w:num w:numId="39" w16cid:durableId="2128112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02396"/>
    <w:rsid w:val="000044CE"/>
    <w:rsid w:val="00013C89"/>
    <w:rsid w:val="00016547"/>
    <w:rsid w:val="00025318"/>
    <w:rsid w:val="00025C22"/>
    <w:rsid w:val="000464CF"/>
    <w:rsid w:val="00047DD5"/>
    <w:rsid w:val="0005336D"/>
    <w:rsid w:val="00054997"/>
    <w:rsid w:val="000629F5"/>
    <w:rsid w:val="00065AC9"/>
    <w:rsid w:val="000678D0"/>
    <w:rsid w:val="00071625"/>
    <w:rsid w:val="000839FC"/>
    <w:rsid w:val="0008559A"/>
    <w:rsid w:val="000871A5"/>
    <w:rsid w:val="000A259B"/>
    <w:rsid w:val="000B0760"/>
    <w:rsid w:val="000B0EA6"/>
    <w:rsid w:val="000B1835"/>
    <w:rsid w:val="000B7B64"/>
    <w:rsid w:val="000C131F"/>
    <w:rsid w:val="000C1F14"/>
    <w:rsid w:val="000C394E"/>
    <w:rsid w:val="000D6007"/>
    <w:rsid w:val="000E07FB"/>
    <w:rsid w:val="000E4766"/>
    <w:rsid w:val="000F3838"/>
    <w:rsid w:val="000F538A"/>
    <w:rsid w:val="00102BCC"/>
    <w:rsid w:val="00107335"/>
    <w:rsid w:val="00113C1D"/>
    <w:rsid w:val="00113CE6"/>
    <w:rsid w:val="001175CD"/>
    <w:rsid w:val="00117ACF"/>
    <w:rsid w:val="00121E17"/>
    <w:rsid w:val="00123FDC"/>
    <w:rsid w:val="001253DF"/>
    <w:rsid w:val="0013139E"/>
    <w:rsid w:val="00136708"/>
    <w:rsid w:val="00137CC2"/>
    <w:rsid w:val="00143AA6"/>
    <w:rsid w:val="00145F39"/>
    <w:rsid w:val="001569E9"/>
    <w:rsid w:val="00165D28"/>
    <w:rsid w:val="00166964"/>
    <w:rsid w:val="00167BC0"/>
    <w:rsid w:val="00177894"/>
    <w:rsid w:val="001811CC"/>
    <w:rsid w:val="00182E2B"/>
    <w:rsid w:val="00184505"/>
    <w:rsid w:val="001875FA"/>
    <w:rsid w:val="00190734"/>
    <w:rsid w:val="00191438"/>
    <w:rsid w:val="00195AC9"/>
    <w:rsid w:val="001A20CB"/>
    <w:rsid w:val="001A52BC"/>
    <w:rsid w:val="001A63D9"/>
    <w:rsid w:val="001A7EA3"/>
    <w:rsid w:val="001C4F4D"/>
    <w:rsid w:val="001D0B31"/>
    <w:rsid w:val="001D1038"/>
    <w:rsid w:val="001E205C"/>
    <w:rsid w:val="001E790A"/>
    <w:rsid w:val="001F394D"/>
    <w:rsid w:val="001F3E1A"/>
    <w:rsid w:val="001F79A8"/>
    <w:rsid w:val="0020351D"/>
    <w:rsid w:val="00204C61"/>
    <w:rsid w:val="0021111F"/>
    <w:rsid w:val="00215BE4"/>
    <w:rsid w:val="002260AA"/>
    <w:rsid w:val="00226220"/>
    <w:rsid w:val="00235ACE"/>
    <w:rsid w:val="00242E9D"/>
    <w:rsid w:val="002536A7"/>
    <w:rsid w:val="00254A9D"/>
    <w:rsid w:val="00265522"/>
    <w:rsid w:val="00266909"/>
    <w:rsid w:val="002779FC"/>
    <w:rsid w:val="002812A2"/>
    <w:rsid w:val="00281B75"/>
    <w:rsid w:val="0028590F"/>
    <w:rsid w:val="002A23F5"/>
    <w:rsid w:val="002A4495"/>
    <w:rsid w:val="002B4AC9"/>
    <w:rsid w:val="002B7D2B"/>
    <w:rsid w:val="002C1A30"/>
    <w:rsid w:val="002C25BF"/>
    <w:rsid w:val="002C6393"/>
    <w:rsid w:val="002C7838"/>
    <w:rsid w:val="002D3276"/>
    <w:rsid w:val="002E07B7"/>
    <w:rsid w:val="002E4071"/>
    <w:rsid w:val="002E5FCF"/>
    <w:rsid w:val="002E7999"/>
    <w:rsid w:val="00301364"/>
    <w:rsid w:val="003039D1"/>
    <w:rsid w:val="00317974"/>
    <w:rsid w:val="00340B73"/>
    <w:rsid w:val="00340BBE"/>
    <w:rsid w:val="00341D2D"/>
    <w:rsid w:val="00342427"/>
    <w:rsid w:val="00343A33"/>
    <w:rsid w:val="003505D6"/>
    <w:rsid w:val="003508F5"/>
    <w:rsid w:val="0035490B"/>
    <w:rsid w:val="00354BC4"/>
    <w:rsid w:val="00365686"/>
    <w:rsid w:val="0036647B"/>
    <w:rsid w:val="00367758"/>
    <w:rsid w:val="00370790"/>
    <w:rsid w:val="00372F97"/>
    <w:rsid w:val="003858AC"/>
    <w:rsid w:val="00392065"/>
    <w:rsid w:val="003A3415"/>
    <w:rsid w:val="003A7D34"/>
    <w:rsid w:val="003C3452"/>
    <w:rsid w:val="003C6DE1"/>
    <w:rsid w:val="003D331E"/>
    <w:rsid w:val="003D4B64"/>
    <w:rsid w:val="003E6D01"/>
    <w:rsid w:val="003E78BD"/>
    <w:rsid w:val="003F4C5D"/>
    <w:rsid w:val="00406108"/>
    <w:rsid w:val="00434835"/>
    <w:rsid w:val="004455E5"/>
    <w:rsid w:val="00447239"/>
    <w:rsid w:val="00452713"/>
    <w:rsid w:val="00456FC0"/>
    <w:rsid w:val="0046656B"/>
    <w:rsid w:val="00472FBB"/>
    <w:rsid w:val="0047363E"/>
    <w:rsid w:val="00477BE7"/>
    <w:rsid w:val="004937BE"/>
    <w:rsid w:val="004A12F5"/>
    <w:rsid w:val="004A255E"/>
    <w:rsid w:val="004A319B"/>
    <w:rsid w:val="004A39B0"/>
    <w:rsid w:val="004A71B1"/>
    <w:rsid w:val="004B146F"/>
    <w:rsid w:val="004C41B8"/>
    <w:rsid w:val="004C50F2"/>
    <w:rsid w:val="004E3576"/>
    <w:rsid w:val="004E375E"/>
    <w:rsid w:val="004E4C07"/>
    <w:rsid w:val="004E5686"/>
    <w:rsid w:val="004E764D"/>
    <w:rsid w:val="004F3A44"/>
    <w:rsid w:val="004F3DA3"/>
    <w:rsid w:val="005019FA"/>
    <w:rsid w:val="00504B83"/>
    <w:rsid w:val="005079D1"/>
    <w:rsid w:val="00513DD0"/>
    <w:rsid w:val="00515CE3"/>
    <w:rsid w:val="005179C9"/>
    <w:rsid w:val="00517A0C"/>
    <w:rsid w:val="00521E0B"/>
    <w:rsid w:val="005225ED"/>
    <w:rsid w:val="00526E03"/>
    <w:rsid w:val="00527032"/>
    <w:rsid w:val="00534EF8"/>
    <w:rsid w:val="00542E03"/>
    <w:rsid w:val="00543310"/>
    <w:rsid w:val="00546CDB"/>
    <w:rsid w:val="005514F9"/>
    <w:rsid w:val="00553288"/>
    <w:rsid w:val="00560D6A"/>
    <w:rsid w:val="00561BF8"/>
    <w:rsid w:val="00562182"/>
    <w:rsid w:val="0056233A"/>
    <w:rsid w:val="005623D2"/>
    <w:rsid w:val="00566965"/>
    <w:rsid w:val="00570E0C"/>
    <w:rsid w:val="0057329D"/>
    <w:rsid w:val="0057329F"/>
    <w:rsid w:val="00581157"/>
    <w:rsid w:val="00590438"/>
    <w:rsid w:val="0059493E"/>
    <w:rsid w:val="0059501F"/>
    <w:rsid w:val="0059662F"/>
    <w:rsid w:val="005A0AFC"/>
    <w:rsid w:val="005A0EAF"/>
    <w:rsid w:val="005C147D"/>
    <w:rsid w:val="005C18F1"/>
    <w:rsid w:val="005C4B72"/>
    <w:rsid w:val="005C60DA"/>
    <w:rsid w:val="005D1468"/>
    <w:rsid w:val="005D15AF"/>
    <w:rsid w:val="005D373A"/>
    <w:rsid w:val="005F31A1"/>
    <w:rsid w:val="005F3D29"/>
    <w:rsid w:val="005F704D"/>
    <w:rsid w:val="00600406"/>
    <w:rsid w:val="00600DD6"/>
    <w:rsid w:val="00601495"/>
    <w:rsid w:val="006207B9"/>
    <w:rsid w:val="00626459"/>
    <w:rsid w:val="00631755"/>
    <w:rsid w:val="00632110"/>
    <w:rsid w:val="00633350"/>
    <w:rsid w:val="00654340"/>
    <w:rsid w:val="0068735C"/>
    <w:rsid w:val="00691667"/>
    <w:rsid w:val="006A0E23"/>
    <w:rsid w:val="006A53B9"/>
    <w:rsid w:val="006A60C1"/>
    <w:rsid w:val="006B35D6"/>
    <w:rsid w:val="006B4834"/>
    <w:rsid w:val="006C121A"/>
    <w:rsid w:val="006C2F92"/>
    <w:rsid w:val="006C4F6D"/>
    <w:rsid w:val="006C5AA6"/>
    <w:rsid w:val="006C7CF0"/>
    <w:rsid w:val="006D1441"/>
    <w:rsid w:val="006D3E06"/>
    <w:rsid w:val="006E41E4"/>
    <w:rsid w:val="006F137E"/>
    <w:rsid w:val="00712340"/>
    <w:rsid w:val="007144F2"/>
    <w:rsid w:val="00715400"/>
    <w:rsid w:val="007156A1"/>
    <w:rsid w:val="00722DB6"/>
    <w:rsid w:val="00722E5D"/>
    <w:rsid w:val="00740DB2"/>
    <w:rsid w:val="00746C87"/>
    <w:rsid w:val="007509AB"/>
    <w:rsid w:val="00754202"/>
    <w:rsid w:val="007718E9"/>
    <w:rsid w:val="0077557C"/>
    <w:rsid w:val="00775760"/>
    <w:rsid w:val="007767A2"/>
    <w:rsid w:val="00776D7E"/>
    <w:rsid w:val="0078576C"/>
    <w:rsid w:val="0079331E"/>
    <w:rsid w:val="00796862"/>
    <w:rsid w:val="00796AAE"/>
    <w:rsid w:val="00796E40"/>
    <w:rsid w:val="007A228B"/>
    <w:rsid w:val="007B26D1"/>
    <w:rsid w:val="007B5188"/>
    <w:rsid w:val="007B58FE"/>
    <w:rsid w:val="007B6C99"/>
    <w:rsid w:val="007C0D5B"/>
    <w:rsid w:val="007C285D"/>
    <w:rsid w:val="007C7D8B"/>
    <w:rsid w:val="007D5854"/>
    <w:rsid w:val="007D7264"/>
    <w:rsid w:val="007E22C9"/>
    <w:rsid w:val="007E2437"/>
    <w:rsid w:val="007E4256"/>
    <w:rsid w:val="007F461D"/>
    <w:rsid w:val="007F7F3C"/>
    <w:rsid w:val="00805A63"/>
    <w:rsid w:val="00811CAD"/>
    <w:rsid w:val="008211CF"/>
    <w:rsid w:val="00831779"/>
    <w:rsid w:val="00831C12"/>
    <w:rsid w:val="00831E38"/>
    <w:rsid w:val="0083266B"/>
    <w:rsid w:val="00833B19"/>
    <w:rsid w:val="008357E2"/>
    <w:rsid w:val="0083727B"/>
    <w:rsid w:val="008430EA"/>
    <w:rsid w:val="008436DE"/>
    <w:rsid w:val="008449AF"/>
    <w:rsid w:val="008455C2"/>
    <w:rsid w:val="00856722"/>
    <w:rsid w:val="00856BB8"/>
    <w:rsid w:val="00866F73"/>
    <w:rsid w:val="00872650"/>
    <w:rsid w:val="008772D4"/>
    <w:rsid w:val="008865D8"/>
    <w:rsid w:val="00894F54"/>
    <w:rsid w:val="00896094"/>
    <w:rsid w:val="008A4C50"/>
    <w:rsid w:val="008B265B"/>
    <w:rsid w:val="008B3C78"/>
    <w:rsid w:val="008C344A"/>
    <w:rsid w:val="008D4A78"/>
    <w:rsid w:val="008F4493"/>
    <w:rsid w:val="009111E4"/>
    <w:rsid w:val="009173F5"/>
    <w:rsid w:val="00921AF2"/>
    <w:rsid w:val="00926A86"/>
    <w:rsid w:val="009308EE"/>
    <w:rsid w:val="009310B5"/>
    <w:rsid w:val="0093454B"/>
    <w:rsid w:val="00940C7F"/>
    <w:rsid w:val="00942AEC"/>
    <w:rsid w:val="00952A0C"/>
    <w:rsid w:val="00952FCF"/>
    <w:rsid w:val="009560B1"/>
    <w:rsid w:val="0095640F"/>
    <w:rsid w:val="009578C9"/>
    <w:rsid w:val="00972186"/>
    <w:rsid w:val="00975781"/>
    <w:rsid w:val="0097631C"/>
    <w:rsid w:val="00984CE8"/>
    <w:rsid w:val="00986768"/>
    <w:rsid w:val="009979D4"/>
    <w:rsid w:val="009B0800"/>
    <w:rsid w:val="009B0B4B"/>
    <w:rsid w:val="009B2B71"/>
    <w:rsid w:val="009B5743"/>
    <w:rsid w:val="009C0FBC"/>
    <w:rsid w:val="009C692A"/>
    <w:rsid w:val="009D306D"/>
    <w:rsid w:val="009E0D22"/>
    <w:rsid w:val="009E1232"/>
    <w:rsid w:val="009E28FB"/>
    <w:rsid w:val="009E7FC6"/>
    <w:rsid w:val="009F6D64"/>
    <w:rsid w:val="00A05C20"/>
    <w:rsid w:val="00A113A9"/>
    <w:rsid w:val="00A16C0B"/>
    <w:rsid w:val="00A20F3D"/>
    <w:rsid w:val="00A24287"/>
    <w:rsid w:val="00A277A8"/>
    <w:rsid w:val="00A32890"/>
    <w:rsid w:val="00A4006E"/>
    <w:rsid w:val="00A4108A"/>
    <w:rsid w:val="00A4135F"/>
    <w:rsid w:val="00A42EFE"/>
    <w:rsid w:val="00A52666"/>
    <w:rsid w:val="00A64777"/>
    <w:rsid w:val="00A70765"/>
    <w:rsid w:val="00A716BE"/>
    <w:rsid w:val="00A85C76"/>
    <w:rsid w:val="00A9010E"/>
    <w:rsid w:val="00A91E97"/>
    <w:rsid w:val="00A938E4"/>
    <w:rsid w:val="00A9403B"/>
    <w:rsid w:val="00A964E2"/>
    <w:rsid w:val="00AA0161"/>
    <w:rsid w:val="00AA26D0"/>
    <w:rsid w:val="00AA56F3"/>
    <w:rsid w:val="00AA74BE"/>
    <w:rsid w:val="00AB6035"/>
    <w:rsid w:val="00AB6778"/>
    <w:rsid w:val="00AC4BEB"/>
    <w:rsid w:val="00AD1853"/>
    <w:rsid w:val="00AD611C"/>
    <w:rsid w:val="00AD7319"/>
    <w:rsid w:val="00AE1EE6"/>
    <w:rsid w:val="00AE3E72"/>
    <w:rsid w:val="00AF336C"/>
    <w:rsid w:val="00B0240C"/>
    <w:rsid w:val="00B057F8"/>
    <w:rsid w:val="00B05E3C"/>
    <w:rsid w:val="00B06964"/>
    <w:rsid w:val="00B17B36"/>
    <w:rsid w:val="00B304EA"/>
    <w:rsid w:val="00B32EB2"/>
    <w:rsid w:val="00B33420"/>
    <w:rsid w:val="00B37E86"/>
    <w:rsid w:val="00B46C9A"/>
    <w:rsid w:val="00B512DE"/>
    <w:rsid w:val="00B549F3"/>
    <w:rsid w:val="00B62542"/>
    <w:rsid w:val="00B67D92"/>
    <w:rsid w:val="00B74695"/>
    <w:rsid w:val="00B7664E"/>
    <w:rsid w:val="00B8355D"/>
    <w:rsid w:val="00B95B3D"/>
    <w:rsid w:val="00B96FA1"/>
    <w:rsid w:val="00BA24DE"/>
    <w:rsid w:val="00BA6DEA"/>
    <w:rsid w:val="00BB42FC"/>
    <w:rsid w:val="00BB5CE7"/>
    <w:rsid w:val="00BC0830"/>
    <w:rsid w:val="00BC2B0C"/>
    <w:rsid w:val="00BD0843"/>
    <w:rsid w:val="00BD6717"/>
    <w:rsid w:val="00BE7824"/>
    <w:rsid w:val="00BE7D1F"/>
    <w:rsid w:val="00BF3D2B"/>
    <w:rsid w:val="00C138F8"/>
    <w:rsid w:val="00C13915"/>
    <w:rsid w:val="00C23AD0"/>
    <w:rsid w:val="00C30A6F"/>
    <w:rsid w:val="00C30D9E"/>
    <w:rsid w:val="00C31DE6"/>
    <w:rsid w:val="00C359B4"/>
    <w:rsid w:val="00C370E9"/>
    <w:rsid w:val="00C47DBF"/>
    <w:rsid w:val="00C57AA9"/>
    <w:rsid w:val="00C65800"/>
    <w:rsid w:val="00C6756C"/>
    <w:rsid w:val="00C72CEA"/>
    <w:rsid w:val="00C813DF"/>
    <w:rsid w:val="00C84F65"/>
    <w:rsid w:val="00C87546"/>
    <w:rsid w:val="00C91EA2"/>
    <w:rsid w:val="00CB224A"/>
    <w:rsid w:val="00CB26BA"/>
    <w:rsid w:val="00CB35CB"/>
    <w:rsid w:val="00CB5AF0"/>
    <w:rsid w:val="00CC565C"/>
    <w:rsid w:val="00CD0073"/>
    <w:rsid w:val="00CD68D4"/>
    <w:rsid w:val="00CE3824"/>
    <w:rsid w:val="00CE384F"/>
    <w:rsid w:val="00CE3A59"/>
    <w:rsid w:val="00CE6BD1"/>
    <w:rsid w:val="00CE7280"/>
    <w:rsid w:val="00D00882"/>
    <w:rsid w:val="00D02F33"/>
    <w:rsid w:val="00D03897"/>
    <w:rsid w:val="00D07A79"/>
    <w:rsid w:val="00D14A41"/>
    <w:rsid w:val="00D20C72"/>
    <w:rsid w:val="00D222D2"/>
    <w:rsid w:val="00D31645"/>
    <w:rsid w:val="00D32896"/>
    <w:rsid w:val="00D4123C"/>
    <w:rsid w:val="00D54202"/>
    <w:rsid w:val="00D5455A"/>
    <w:rsid w:val="00D56C9F"/>
    <w:rsid w:val="00D613B4"/>
    <w:rsid w:val="00D71127"/>
    <w:rsid w:val="00D80D73"/>
    <w:rsid w:val="00D8373D"/>
    <w:rsid w:val="00D96BAD"/>
    <w:rsid w:val="00DA1E10"/>
    <w:rsid w:val="00DA25DB"/>
    <w:rsid w:val="00DA6C45"/>
    <w:rsid w:val="00DA7293"/>
    <w:rsid w:val="00DB1225"/>
    <w:rsid w:val="00DB45FA"/>
    <w:rsid w:val="00DC1A5F"/>
    <w:rsid w:val="00DC3233"/>
    <w:rsid w:val="00DC4601"/>
    <w:rsid w:val="00DC564E"/>
    <w:rsid w:val="00DD43E1"/>
    <w:rsid w:val="00DE6537"/>
    <w:rsid w:val="00DF13CE"/>
    <w:rsid w:val="00DF509B"/>
    <w:rsid w:val="00DF7588"/>
    <w:rsid w:val="00E03303"/>
    <w:rsid w:val="00E04BDA"/>
    <w:rsid w:val="00E11238"/>
    <w:rsid w:val="00E11386"/>
    <w:rsid w:val="00E14F75"/>
    <w:rsid w:val="00E16345"/>
    <w:rsid w:val="00E2621D"/>
    <w:rsid w:val="00E37B4D"/>
    <w:rsid w:val="00E42373"/>
    <w:rsid w:val="00E558C6"/>
    <w:rsid w:val="00E81ECC"/>
    <w:rsid w:val="00E864F5"/>
    <w:rsid w:val="00E93252"/>
    <w:rsid w:val="00E93B84"/>
    <w:rsid w:val="00E95676"/>
    <w:rsid w:val="00EA3850"/>
    <w:rsid w:val="00EB2268"/>
    <w:rsid w:val="00EB3D37"/>
    <w:rsid w:val="00EB5B0C"/>
    <w:rsid w:val="00EC0509"/>
    <w:rsid w:val="00EC1D65"/>
    <w:rsid w:val="00EC2839"/>
    <w:rsid w:val="00EC4C5B"/>
    <w:rsid w:val="00EC4FF6"/>
    <w:rsid w:val="00ED2572"/>
    <w:rsid w:val="00ED2D6D"/>
    <w:rsid w:val="00ED31B1"/>
    <w:rsid w:val="00ED3DBE"/>
    <w:rsid w:val="00F02B06"/>
    <w:rsid w:val="00F06051"/>
    <w:rsid w:val="00F07AD4"/>
    <w:rsid w:val="00F158CE"/>
    <w:rsid w:val="00F307A6"/>
    <w:rsid w:val="00F314BE"/>
    <w:rsid w:val="00F32351"/>
    <w:rsid w:val="00F37B36"/>
    <w:rsid w:val="00F442D9"/>
    <w:rsid w:val="00F541A1"/>
    <w:rsid w:val="00F56884"/>
    <w:rsid w:val="00F62D61"/>
    <w:rsid w:val="00F67F15"/>
    <w:rsid w:val="00F70F8E"/>
    <w:rsid w:val="00F71272"/>
    <w:rsid w:val="00F720D5"/>
    <w:rsid w:val="00F74389"/>
    <w:rsid w:val="00F8008B"/>
    <w:rsid w:val="00F80241"/>
    <w:rsid w:val="00F91F97"/>
    <w:rsid w:val="00F953A8"/>
    <w:rsid w:val="00F96DA1"/>
    <w:rsid w:val="00FA0857"/>
    <w:rsid w:val="00FB6F61"/>
    <w:rsid w:val="00FC2456"/>
    <w:rsid w:val="00FC25FE"/>
    <w:rsid w:val="00FC2BB8"/>
    <w:rsid w:val="00FE00BA"/>
    <w:rsid w:val="00FE1AA8"/>
    <w:rsid w:val="00FE2807"/>
    <w:rsid w:val="00FE58AF"/>
    <w:rsid w:val="00FF05B1"/>
    <w:rsid w:val="00FF6A94"/>
    <w:rsid w:val="00FF6B80"/>
    <w:rsid w:val="00FF7C41"/>
    <w:rsid w:val="160CC9FF"/>
    <w:rsid w:val="63EA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EF25"/>
  <w15:docId w15:val="{AFFF87F8-D8DA-4012-9F2A-B0B156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31F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4E3576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4E3576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576"/>
  </w:style>
  <w:style w:type="paragraph" w:styleId="PargrafodaLista">
    <w:name w:val="List Paragraph"/>
    <w:basedOn w:val="Normal"/>
    <w:uiPriority w:val="1"/>
    <w:qFormat/>
    <w:rsid w:val="004E357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3576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D80D73"/>
    <w:pPr>
      <w:widowControl/>
    </w:pPr>
    <w:rPr>
      <w:rFonts w:ascii="Arial" w:eastAsiaTheme="minorHAnsi" w:hAnsi="Arial" w:cs="Arial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0D73"/>
    <w:rPr>
      <w:rFonts w:ascii="Arial" w:hAnsi="Arial" w:cs="Arial"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F67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F15"/>
    <w:rPr>
      <w:b/>
      <w:bCs/>
    </w:rPr>
  </w:style>
  <w:style w:type="paragraph" w:customStyle="1" w:styleId="Default">
    <w:name w:val="Default"/>
    <w:rsid w:val="001253D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6E1-92DD-4AD9-B3BE-50C24F9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2116</Words>
  <Characters>11431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2017-09-04T19:38:00Z</cp:lastPrinted>
  <dcterms:created xsi:type="dcterms:W3CDTF">2022-03-30T16:56:00Z</dcterms:created>
  <dcterms:modified xsi:type="dcterms:W3CDTF">2022-05-25T13:10:00Z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