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F3D1745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BE57B5" w:rsidRPr="00BE57B5">
              <w:rPr>
                <w:rFonts w:asciiTheme="majorHAnsi" w:hAnsiTheme="majorHAnsi" w:cs="Times New Roman"/>
              </w:rPr>
              <w:t>1282892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C10157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D711B28" w:rsidR="00B8018D" w:rsidRPr="00E61C23" w:rsidRDefault="00BE57B5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Plenário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C10157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D13C927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de </w:t>
            </w:r>
            <w:r w:rsidR="003505FD"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  <w:r w:rsidR="00DC3602">
              <w:rPr>
                <w:rFonts w:asciiTheme="majorHAnsi" w:hAnsiTheme="majorHAnsi" w:cs="Times New Roman"/>
              </w:rPr>
              <w:t>, consulta da Secretaria de Meio Ambiente de Ube</w:t>
            </w:r>
            <w:r w:rsidR="00C10157">
              <w:rPr>
                <w:rFonts w:asciiTheme="majorHAnsi" w:hAnsiTheme="majorHAnsi" w:cs="Times New Roman"/>
              </w:rPr>
              <w:t>raba</w:t>
            </w:r>
          </w:p>
        </w:tc>
      </w:tr>
      <w:tr w:rsidR="00113CE6" w:rsidRPr="00C10157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10157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33B00BF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57B5">
              <w:rPr>
                <w:rFonts w:asciiTheme="majorHAnsi" w:hAnsiTheme="majorHAnsi" w:cs="Times New Roman"/>
                <w:b/>
              </w:rPr>
              <w:t>5</w:t>
            </w:r>
            <w:r w:rsidR="00EB4570" w:rsidRPr="00BE57B5">
              <w:rPr>
                <w:rFonts w:asciiTheme="majorHAnsi" w:hAnsiTheme="majorHAnsi" w:cs="Times New Roman"/>
                <w:b/>
              </w:rPr>
              <w:t>.</w:t>
            </w:r>
            <w:r w:rsidR="005D1ADF" w:rsidRPr="00BE57B5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4C70118B" w:rsidR="00C51920" w:rsidRDefault="00C51920" w:rsidP="009F2CF2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025DD3D9" w14:textId="77777777" w:rsidR="009F2CF2" w:rsidRPr="00C41497" w:rsidRDefault="009F2CF2" w:rsidP="009F2CF2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9F2CF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C41497" w:rsidRDefault="004A4AB6" w:rsidP="009F2CF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315B8B78" w14:textId="77777777" w:rsidR="00BE57B5" w:rsidRPr="009E1662" w:rsidRDefault="00BE57B5" w:rsidP="009F2CF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2002497F" w14:textId="77777777" w:rsidR="00BE57B5" w:rsidRPr="009E1662" w:rsidRDefault="00BE57B5" w:rsidP="009F2CF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12CA4AE1" w14:textId="77777777" w:rsidR="00BE57B5" w:rsidRPr="009E1662" w:rsidRDefault="00BE57B5" w:rsidP="009F2CF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lastRenderedPageBreak/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75A766FD" w14:textId="77777777" w:rsidR="00BE57B5" w:rsidRPr="009E1662" w:rsidRDefault="00BE57B5" w:rsidP="009F2CF2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9E1662">
        <w:rPr>
          <w:rFonts w:asciiTheme="majorHAnsi" w:hAnsiTheme="majorHAnsi" w:cs="Times New Roman"/>
          <w:lang w:val="pt-BR"/>
        </w:rPr>
        <w:t>Considerando OFÍCIO Nº 43/2021 da Secretaria de Meio Ambiente de Uberaba, encaminhado à CEF-CAU/MG por meio do Memorando COORTE-GERTEF-CAU/MG 001/2021, e que solicita informações sobre quais profissionais estão habilitados pelo referido Conselho para atuar como Responsável Técnico na elaboração dos estudos/trabalhos a seguir expostos:</w:t>
      </w:r>
    </w:p>
    <w:p w14:paraId="3226DC2A" w14:textId="77777777" w:rsidR="00BE57B5" w:rsidRPr="00180A53" w:rsidRDefault="00BE57B5" w:rsidP="00180A5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Projeto Técnico de Reconstituição da Flora - PTRF;</w:t>
      </w:r>
    </w:p>
    <w:p w14:paraId="17D91299" w14:textId="77777777" w:rsidR="00BE57B5" w:rsidRPr="00180A53" w:rsidRDefault="00BE57B5" w:rsidP="00180A5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Plano de Recuperação de Áreas Degradadas - PRAD; e</w:t>
      </w:r>
    </w:p>
    <w:p w14:paraId="7DAB3B2A" w14:textId="77777777" w:rsidR="00BE57B5" w:rsidRPr="00180A53" w:rsidRDefault="00BE57B5" w:rsidP="00180A5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Inventário Florestal.</w:t>
      </w:r>
    </w:p>
    <w:p w14:paraId="2D09B451" w14:textId="77777777" w:rsidR="00BE57B5" w:rsidRPr="009E1662" w:rsidRDefault="00BE57B5" w:rsidP="009F2CF2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 w:rsidRPr="009E1662">
        <w:rPr>
          <w:rFonts w:asciiTheme="majorHAnsi" w:hAnsiTheme="majorHAnsi" w:cs="Arial"/>
          <w:lang w:val="pt-BR"/>
        </w:rPr>
        <w:t>Considerando Deliberação n° 145.3.8/2021 – CEF-CAU/MG, manifesta posicionamento da Comissão de Ensino e Formação – CEF-CAU/MG de que o profissional arquiteto e urbanista possui atribuição legal para ser responsável técnico pelas atividades técnicas objeto desta consulta, quais sejam: Projeto Técnico de Reconstituição da Flora - PTRF; Plano de Recuperação de Áreas Degradadas – PRAD e Inventário Florestal, contudo, solicita posicionamento da CEP-CAU/MG sobre a matéria;</w:t>
      </w:r>
    </w:p>
    <w:p w14:paraId="480CDDFE" w14:textId="3B291F55" w:rsidR="005D1ADF" w:rsidRDefault="00BE57B5" w:rsidP="009F2CF2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 w:rsidRPr="00BE57B5">
        <w:rPr>
          <w:rFonts w:asciiTheme="majorHAnsi" w:hAnsiTheme="majorHAnsi" w:cs="Arial"/>
          <w:lang w:val="pt-BR"/>
        </w:rPr>
        <w:t xml:space="preserve">Considerando Deliberação n° 188.5.5/2022 – CEP-CAU/MG, que </w:t>
      </w:r>
      <w:r w:rsidR="00A421F8" w:rsidRPr="00BE57B5">
        <w:rPr>
          <w:rFonts w:asciiTheme="majorHAnsi" w:hAnsiTheme="majorHAnsi" w:cs="Arial"/>
          <w:lang w:val="pt-BR"/>
        </w:rPr>
        <w:t>distribui</w:t>
      </w:r>
      <w:r w:rsidRPr="00BE57B5">
        <w:rPr>
          <w:rFonts w:asciiTheme="majorHAnsi" w:hAnsiTheme="majorHAnsi" w:cs="Arial"/>
          <w:lang w:val="pt-BR"/>
        </w:rPr>
        <w:t xml:space="preserve"> a matéria para análise, designando o Conselheiro Ademir Nogueira de Ávila como Conselheiro Relator, para analisar e relatar a matéria, apresentando relatório e voto fundamentado, nos termos do Regimento Interno do CAU/MG</w:t>
      </w:r>
      <w:r>
        <w:rPr>
          <w:rFonts w:asciiTheme="majorHAnsi" w:hAnsiTheme="majorHAnsi" w:cs="Arial"/>
          <w:lang w:val="pt-BR"/>
        </w:rPr>
        <w:t>;</w:t>
      </w:r>
    </w:p>
    <w:p w14:paraId="067C124A" w14:textId="378FC861" w:rsidR="00180A53" w:rsidRDefault="00180A53" w:rsidP="009F2CF2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Considerando relato do Conselheiro Lucas </w:t>
      </w:r>
      <w:r w:rsidR="00A421F8">
        <w:rPr>
          <w:rFonts w:asciiTheme="majorHAnsi" w:hAnsiTheme="majorHAnsi" w:cs="Arial"/>
          <w:lang w:val="pt-BR"/>
        </w:rPr>
        <w:t>L. Leonel Fonseca, membro titular desta Comissão de Exercício Profissional – CEP-CAU/MG, nos termos do registrado ao item 5.1 da Súmula n° 189/2022, de que o Fórum SMPU da Prefeitura Municipal de Belo Horizonte tem apresentado entendimento de que as atividades técnicas de inventário florestal não são atribuição profissional de arquitetos e urbanistas;</w:t>
      </w:r>
    </w:p>
    <w:p w14:paraId="51BD84A4" w14:textId="119F3CA4" w:rsidR="00BE57B5" w:rsidRDefault="00BE57B5" w:rsidP="009F2CF2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Considerando relatório e voto apresentado pelo Conselheiro Relator, que dispõe:</w:t>
      </w:r>
    </w:p>
    <w:p w14:paraId="32CDE9E9" w14:textId="77777777" w:rsidR="00180A53" w:rsidRPr="00180A53" w:rsidRDefault="00180A53" w:rsidP="00180A5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Acompanhar posicionamento da Comissão de Ensino e Formação – CEF-CAU/MG, manifestando entendimento de que as atividades representam atividades técnicas de Projeto Técnico de Reconstituição da Flora – PTRF e Inventário Florestal, apesar de não discriminadas no rol de atividades do Art. 3º da Resolução CAU/BR nº 21, de 5 de abril de 2012, estão abarcadas por outras atividades mais complexas e genéricas no âmbito das atribuições dos profissionais da arquitetura e urbanismo, ou seja, podem ser entendidas como atividades que compõe o escopo de várias das atividades técnicas mais complexas mencionadas e listadas neste instrumento legal. </w:t>
      </w:r>
    </w:p>
    <w:p w14:paraId="391E1F08" w14:textId="22070636" w:rsidR="005D1ADF" w:rsidRDefault="005D1ADF" w:rsidP="005D1ADF">
      <w:pPr>
        <w:jc w:val="center"/>
        <w:rPr>
          <w:rFonts w:asciiTheme="majorHAnsi" w:hAnsiTheme="majorHAnsi" w:cs="Times New Roman"/>
          <w:lang w:val="pt-BR"/>
        </w:rPr>
      </w:pPr>
    </w:p>
    <w:p w14:paraId="0285F859" w14:textId="689520AF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3C13B5D0" w14:textId="5B32CE0B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471761E6" w14:textId="67138F97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7478884B" w14:textId="4F11896D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6ED1EEE4" w14:textId="06C687EF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09598CE8" w14:textId="4B7F52C8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6E97ACD4" w14:textId="4BCE299D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3EE27D2E" w14:textId="09A689A4" w:rsidR="009F2CF2" w:rsidRPr="009F2CF2" w:rsidRDefault="00A421F8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Acolher o relatório e voto do Conselheiro</w:t>
      </w:r>
      <w:r w:rsidR="009F2CF2">
        <w:rPr>
          <w:rFonts w:asciiTheme="majorHAnsi" w:hAnsiTheme="majorHAnsi" w:cs="Arial"/>
          <w:lang w:val="pt-BR"/>
        </w:rPr>
        <w:t xml:space="preserve"> </w:t>
      </w:r>
      <w:r w:rsidR="009F2CF2">
        <w:rPr>
          <w:rFonts w:asciiTheme="majorHAnsi" w:hAnsiTheme="majorHAnsi" w:cs="Arial"/>
          <w:color w:val="000000"/>
          <w:lang w:val="pt-BR"/>
        </w:rPr>
        <w:t>Ademir Nogueira de Ávila, que estabelece como atribuição de arquiteto e urbanista as atividades técnicas que menciona, quais sejam:</w:t>
      </w:r>
    </w:p>
    <w:p w14:paraId="24DD2771" w14:textId="77777777" w:rsidR="009F2CF2" w:rsidRPr="00180A53" w:rsidRDefault="00A421F8" w:rsidP="009F2CF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Arial"/>
          <w:lang w:val="pt-BR"/>
        </w:rPr>
        <w:t xml:space="preserve"> </w:t>
      </w:r>
      <w:r w:rsidR="009F2CF2"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Projeto Técnico de Reconstituição da Flora - PTRF;</w:t>
      </w:r>
    </w:p>
    <w:p w14:paraId="533ECFC6" w14:textId="77777777" w:rsidR="009F2CF2" w:rsidRPr="00180A53" w:rsidRDefault="009F2CF2" w:rsidP="009F2CF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Plano de Recuperação de Áreas Degradadas - PRAD; e</w:t>
      </w:r>
    </w:p>
    <w:p w14:paraId="2BB5C1D6" w14:textId="77777777" w:rsidR="009F2CF2" w:rsidRPr="00180A53" w:rsidRDefault="009F2CF2" w:rsidP="009F2CF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180A53">
        <w:rPr>
          <w:rFonts w:asciiTheme="majorHAnsi" w:hAnsiTheme="majorHAnsi" w:cs="Times New Roman"/>
          <w:i/>
          <w:iCs/>
          <w:sz w:val="20"/>
          <w:szCs w:val="20"/>
          <w:lang w:val="pt-BR"/>
        </w:rPr>
        <w:t>- Inventário Florestal.</w:t>
      </w:r>
    </w:p>
    <w:p w14:paraId="3E84A822" w14:textId="568590F9" w:rsidR="009F2CF2" w:rsidRDefault="009F2CF2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Informar à Presidência do CAU/MG acerca do posicionamento da Prefeitura Municipal de Belo Horizonte, de não aceitar Registro de Responsabilidade Técnica de arquitetos e urbanistas para as atividades de Inventário Florestal, solicitando a verificação</w:t>
      </w:r>
      <w:r w:rsidR="003505FD">
        <w:rPr>
          <w:rFonts w:asciiTheme="majorHAnsi" w:hAnsiTheme="majorHAnsi" w:cs="Arial"/>
          <w:lang w:val="pt-BR"/>
        </w:rPr>
        <w:t>, junto às instâncias competentes no âmbito do CAU/MG,</w:t>
      </w:r>
      <w:r>
        <w:rPr>
          <w:rFonts w:asciiTheme="majorHAnsi" w:hAnsiTheme="majorHAnsi" w:cs="Arial"/>
          <w:lang w:val="pt-BR"/>
        </w:rPr>
        <w:t xml:space="preserve"> das providências cabíveis ao caso;</w:t>
      </w:r>
    </w:p>
    <w:p w14:paraId="5D1778F2" w14:textId="09C2F7C4" w:rsidR="003505FD" w:rsidRPr="003505FD" w:rsidRDefault="003505FD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o encaminhamento do relatório do Conselheiro </w:t>
      </w:r>
      <w:r>
        <w:rPr>
          <w:rFonts w:asciiTheme="majorHAnsi" w:hAnsiTheme="majorHAnsi" w:cs="Arial"/>
          <w:color w:val="000000"/>
          <w:lang w:val="pt-BR"/>
        </w:rPr>
        <w:t>Ademir Nogueira de Ávila, para apreciação pelo Plenário do CAU/MG;</w:t>
      </w:r>
    </w:p>
    <w:p w14:paraId="17A7D4A6" w14:textId="67240ABD" w:rsidR="003505FD" w:rsidRPr="003505FD" w:rsidRDefault="003505FD" w:rsidP="003505FD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 w:rsidRPr="003505FD">
        <w:rPr>
          <w:rFonts w:asciiTheme="majorHAnsi" w:hAnsiTheme="majorHAnsi" w:cs="Arial"/>
          <w:color w:val="000000"/>
          <w:lang w:val="pt-BR"/>
        </w:rPr>
        <w:t>Autorizar à Assessoria Técnica da CEP-CAU/MG a assinar digitalmente documentos produzidos por esta Comissão, quais sejam: i- relatório e voto do(a) Conselheiro(a) Relator(a)</w:t>
      </w:r>
      <w:r>
        <w:rPr>
          <w:rFonts w:asciiTheme="majorHAnsi" w:hAnsiTheme="majorHAnsi" w:cs="Arial"/>
          <w:color w:val="000000"/>
          <w:lang w:val="pt-BR"/>
        </w:rPr>
        <w:t xml:space="preserve">; </w:t>
      </w:r>
      <w:proofErr w:type="spellStart"/>
      <w:r>
        <w:rPr>
          <w:rFonts w:asciiTheme="majorHAnsi" w:hAnsiTheme="majorHAnsi" w:cs="Arial"/>
          <w:color w:val="000000"/>
          <w:lang w:val="pt-BR"/>
        </w:rPr>
        <w:t>ii</w:t>
      </w:r>
      <w:proofErr w:type="spellEnd"/>
      <w:r>
        <w:rPr>
          <w:rFonts w:asciiTheme="majorHAnsi" w:hAnsiTheme="majorHAnsi" w:cs="Arial"/>
          <w:color w:val="000000"/>
          <w:lang w:val="pt-BR"/>
        </w:rPr>
        <w:t xml:space="preserve">- presente deliberação </w:t>
      </w:r>
      <w:r w:rsidRPr="003505FD">
        <w:rPr>
          <w:rFonts w:asciiTheme="majorHAnsi" w:hAnsiTheme="majorHAnsi" w:cs="Arial"/>
          <w:color w:val="000000"/>
          <w:lang w:val="pt-BR"/>
        </w:rPr>
        <w:t>– e solicitar sua posterior juntada ao processo digital, de forma que possam ser dados os devidos encaminhamentos para as instâncias competentes ao cumprimento das decisões desta Deliberação.</w:t>
      </w:r>
    </w:p>
    <w:p w14:paraId="112B1D1E" w14:textId="6CBCD324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470324F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589BD4C1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421F8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D2A9C07" w14:textId="77777777" w:rsidR="00A421F8" w:rsidRPr="008C59E1" w:rsidRDefault="00A421F8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A4F206D" w14:textId="77777777" w:rsidR="00A421F8" w:rsidRDefault="00A421F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6B07396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6114D498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39155C8" w14:textId="77777777" w:rsidR="003505FD" w:rsidRDefault="003505F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BC37" w14:textId="77777777" w:rsidR="00AC3EF1" w:rsidRDefault="00AC3EF1" w:rsidP="007E22C9">
      <w:r>
        <w:separator/>
      </w:r>
    </w:p>
  </w:endnote>
  <w:endnote w:type="continuationSeparator" w:id="0">
    <w:p w14:paraId="12CA1769" w14:textId="77777777" w:rsidR="00AC3EF1" w:rsidRDefault="00AC3EF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32D7" w14:textId="77777777" w:rsidR="00AC3EF1" w:rsidRDefault="00AC3EF1" w:rsidP="007E22C9">
      <w:r>
        <w:separator/>
      </w:r>
    </w:p>
  </w:footnote>
  <w:footnote w:type="continuationSeparator" w:id="0">
    <w:p w14:paraId="57C09744" w14:textId="77777777" w:rsidR="00AC3EF1" w:rsidRDefault="00AC3EF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239146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0A53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5FD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652C5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67BDA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2CF2"/>
    <w:rsid w:val="009F6B19"/>
    <w:rsid w:val="009F7C3A"/>
    <w:rsid w:val="00A05C20"/>
    <w:rsid w:val="00A20F3D"/>
    <w:rsid w:val="00A277A8"/>
    <w:rsid w:val="00A4006E"/>
    <w:rsid w:val="00A4108A"/>
    <w:rsid w:val="00A4135F"/>
    <w:rsid w:val="00A421F8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3EF1"/>
    <w:rsid w:val="00AD1853"/>
    <w:rsid w:val="00AD7073"/>
    <w:rsid w:val="00AD7319"/>
    <w:rsid w:val="00AE531B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57B5"/>
    <w:rsid w:val="00BE6DC5"/>
    <w:rsid w:val="00BF3D2B"/>
    <w:rsid w:val="00C10157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3602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BE57B5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57B5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</cp:revision>
  <cp:lastPrinted>2022-01-24T14:46:00Z</cp:lastPrinted>
  <dcterms:created xsi:type="dcterms:W3CDTF">2022-04-29T19:45:00Z</dcterms:created>
  <dcterms:modified xsi:type="dcterms:W3CDTF">2022-05-05T11:29:00Z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