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5B3FF5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2B5C70F9" w:rsidR="00113CE6" w:rsidRPr="00E61C23" w:rsidRDefault="005B3FF5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Resolução CAU/BR n° 167/2018, Protocolo SICCAU n° </w:t>
            </w:r>
            <w:r>
              <w:rPr>
                <w:rFonts w:asciiTheme="majorHAnsi" w:hAnsiTheme="majorHAnsi"/>
              </w:rPr>
              <w:t>944970/2019</w:t>
            </w:r>
          </w:p>
        </w:tc>
      </w:tr>
      <w:tr w:rsidR="00113CE6" w:rsidRPr="005B3FF5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28A8E613" w:rsidR="00B8018D" w:rsidRPr="00E61C23" w:rsidRDefault="005B3FF5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5B3FF5">
              <w:rPr>
                <w:rFonts w:asciiTheme="majorHAnsi" w:hAnsiTheme="majorHAnsi" w:cs="Times New Roman"/>
              </w:rPr>
              <w:t>ANA PAULA GONCALVES PIRES</w:t>
            </w:r>
            <w:r w:rsidRPr="005B3FF5">
              <w:rPr>
                <w:rFonts w:asciiTheme="majorHAnsi" w:hAnsiTheme="majorHAnsi" w:cs="Times New Roman"/>
              </w:rPr>
              <w:t xml:space="preserve">, CAU N° </w:t>
            </w:r>
            <w:r w:rsidRPr="005B3FF5">
              <w:rPr>
                <w:rFonts w:asciiTheme="majorHAnsi" w:hAnsiTheme="majorHAnsi" w:cs="Times New Roman"/>
              </w:rPr>
              <w:t>A558338</w:t>
            </w:r>
          </w:p>
        </w:tc>
      </w:tr>
      <w:tr w:rsidR="00113CE6" w:rsidRPr="005B3FF5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6490FACB" w:rsidR="00113CE6" w:rsidRPr="003D5BAC" w:rsidRDefault="005B3FF5" w:rsidP="000D2BF9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</w:rPr>
              <w:t>APRECIAÇÃO DE RECURSO: INTERRUPÇÃO DE REGISTRO PROFISSIONAL DE PESSOA FÍSICA</w:t>
            </w:r>
          </w:p>
        </w:tc>
      </w:tr>
      <w:tr w:rsidR="00113CE6" w:rsidRPr="005B3FF5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5B3FF5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490858DC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 w:rsidRPr="00CB2546">
              <w:rPr>
                <w:rFonts w:asciiTheme="majorHAnsi" w:hAnsiTheme="majorHAnsi" w:cs="Times New Roman"/>
                <w:b/>
              </w:rPr>
              <w:t>18</w:t>
            </w:r>
            <w:r w:rsidR="00CB2546" w:rsidRPr="00CB2546">
              <w:rPr>
                <w:rFonts w:asciiTheme="majorHAnsi" w:hAnsiTheme="majorHAnsi" w:cs="Times New Roman"/>
                <w:b/>
              </w:rPr>
              <w:t>9</w:t>
            </w:r>
            <w:r w:rsidR="00EB4570" w:rsidRPr="00CB2546">
              <w:rPr>
                <w:rFonts w:asciiTheme="majorHAnsi" w:hAnsiTheme="majorHAnsi" w:cs="Times New Roman"/>
                <w:b/>
              </w:rPr>
              <w:t>.</w:t>
            </w:r>
            <w:r w:rsidR="003F6A60">
              <w:rPr>
                <w:rFonts w:asciiTheme="majorHAnsi" w:hAnsiTheme="majorHAnsi" w:cs="Times New Roman"/>
                <w:b/>
              </w:rPr>
              <w:t>4</w:t>
            </w:r>
            <w:r w:rsidR="00EB4570" w:rsidRPr="00B72A52">
              <w:rPr>
                <w:rFonts w:asciiTheme="majorHAnsi" w:hAnsiTheme="majorHAnsi" w:cs="Times New Roman"/>
                <w:b/>
              </w:rPr>
              <w:t>.</w:t>
            </w:r>
            <w:r w:rsidR="00160076">
              <w:rPr>
                <w:rFonts w:asciiTheme="majorHAnsi" w:hAnsiTheme="majorHAnsi" w:cs="Times New Roman"/>
                <w:b/>
              </w:rPr>
              <w:t>3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CE1803A" w14:textId="062A7969" w:rsidR="00C51920" w:rsidRPr="00C41497" w:rsidRDefault="00C51920" w:rsidP="00C51920">
      <w:pPr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A COMISSÃO DE EXERCÍCIO PROFISSIONAL – CEP-CAU/MG, reunida ordinariamente</w:t>
      </w:r>
      <w:r w:rsidR="00CB2546">
        <w:rPr>
          <w:rFonts w:asciiTheme="majorHAnsi" w:hAnsiTheme="majorHAnsi" w:cs="Times New Roman"/>
          <w:lang w:val="pt-BR"/>
        </w:rPr>
        <w:t xml:space="preserve"> em formato híbrido, com membros presencialmente na Sede do Conselho Regional de Administração de Minas Gerais – CRA/MG, localizado à Avenida Olegário Maciel, 1.233, Lourdes, Belo Horizonte, Minas Gerais, bem como membros </w:t>
      </w:r>
      <w:r w:rsidRPr="00C41497">
        <w:rPr>
          <w:rFonts w:asciiTheme="majorHAnsi" w:hAnsiTheme="majorHAnsi" w:cs="Times New Roman"/>
          <w:lang w:val="pt-BR"/>
        </w:rPr>
        <w:t xml:space="preserve">em ambiente virtual, </w:t>
      </w:r>
      <w:r w:rsidR="00CB2546">
        <w:rPr>
          <w:rFonts w:asciiTheme="majorHAnsi" w:hAnsiTheme="majorHAnsi" w:cs="Times New Roman"/>
          <w:lang w:val="pt-BR"/>
        </w:rPr>
        <w:t>por meio</w:t>
      </w:r>
      <w:r w:rsidRPr="00C41497">
        <w:rPr>
          <w:rFonts w:asciiTheme="majorHAnsi" w:hAnsiTheme="majorHAnsi" w:cs="Times New Roman"/>
          <w:lang w:val="pt-BR"/>
        </w:rPr>
        <w:t xml:space="preserve"> de videoconferência, no dia </w:t>
      </w:r>
      <w:r w:rsidR="005D1ADF" w:rsidRPr="00CB2546">
        <w:rPr>
          <w:rFonts w:asciiTheme="majorHAnsi" w:hAnsiTheme="majorHAnsi" w:cs="Times New Roman"/>
          <w:lang w:val="pt-BR"/>
        </w:rPr>
        <w:t>2</w:t>
      </w:r>
      <w:r w:rsidR="00CB2546" w:rsidRPr="00CB2546">
        <w:rPr>
          <w:rFonts w:asciiTheme="majorHAnsi" w:hAnsiTheme="majorHAnsi" w:cs="Times New Roman"/>
          <w:lang w:val="pt-BR"/>
        </w:rPr>
        <w:t>5</w:t>
      </w:r>
      <w:r w:rsidRPr="00CB2546">
        <w:rPr>
          <w:rFonts w:asciiTheme="majorHAnsi" w:hAnsiTheme="majorHAnsi" w:cs="Times New Roman"/>
          <w:lang w:val="pt-BR"/>
        </w:rPr>
        <w:t xml:space="preserve"> de </w:t>
      </w:r>
      <w:r w:rsidR="00CB2546" w:rsidRPr="00CB2546">
        <w:rPr>
          <w:rFonts w:asciiTheme="majorHAnsi" w:hAnsiTheme="majorHAnsi" w:cs="Times New Roman"/>
          <w:lang w:val="pt-BR"/>
        </w:rPr>
        <w:t>abril</w:t>
      </w:r>
      <w:r w:rsidRPr="00CB2546">
        <w:rPr>
          <w:rFonts w:asciiTheme="majorHAnsi" w:hAnsiTheme="majorHAnsi" w:cs="Times New Roman"/>
          <w:lang w:val="pt-BR"/>
        </w:rPr>
        <w:t xml:space="preserve"> de 2022</w:t>
      </w:r>
      <w:r w:rsidRPr="00C41497">
        <w:rPr>
          <w:rFonts w:asciiTheme="majorHAnsi" w:hAnsiTheme="majorHAnsi" w:cs="Times New Roman"/>
          <w:lang w:val="pt-BR"/>
        </w:rPr>
        <w:t>, após análise do assunto em epígrafe, no uso das competências que lhe conferem o artigo 96 do Regimento Interno do CAU/MG:</w:t>
      </w:r>
    </w:p>
    <w:p w14:paraId="1B6998A1" w14:textId="3D111734" w:rsidR="0058380F" w:rsidRPr="00C41497" w:rsidRDefault="0058380F" w:rsidP="00C14522">
      <w:pPr>
        <w:jc w:val="both"/>
        <w:rPr>
          <w:rFonts w:asciiTheme="majorHAnsi" w:hAnsiTheme="majorHAnsi" w:cs="Times New Roman"/>
          <w:lang w:val="pt-BR"/>
        </w:rPr>
      </w:pPr>
    </w:p>
    <w:p w14:paraId="4D42CCF8" w14:textId="77777777" w:rsidR="005B3FF5" w:rsidRPr="00C41497" w:rsidRDefault="005B3FF5" w:rsidP="005B3FF5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16BE3225" w14:textId="77777777" w:rsidR="005B3FF5" w:rsidRPr="00C41497" w:rsidRDefault="005B3FF5" w:rsidP="005B3FF5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9966613" w14:textId="77777777" w:rsidR="005B3FF5" w:rsidRDefault="005B3FF5" w:rsidP="005B3FF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Art. 4º da Resolução nº 167/2018 do CAU/BR:</w:t>
      </w:r>
    </w:p>
    <w:p w14:paraId="39D695F5" w14:textId="77777777" w:rsidR="005B3FF5" w:rsidRDefault="005B3FF5" w:rsidP="005B3FF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843B48A" w14:textId="77777777" w:rsidR="005B3FF5" w:rsidRDefault="005B3FF5" w:rsidP="005B3FF5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“A interrupção do registro é facultada ao profissional que, sem se desligar do CAU, não pretende exercer a profissão por tempo indeterminado, desde que atendidas as seguintes condições:</w:t>
      </w:r>
    </w:p>
    <w:p w14:paraId="5871F87C" w14:textId="77777777" w:rsidR="005B3FF5" w:rsidRDefault="005B3FF5" w:rsidP="005B3FF5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 -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  </w:r>
    </w:p>
    <w:p w14:paraId="27568BAF" w14:textId="77777777" w:rsidR="005B3FF5" w:rsidRDefault="005B3FF5" w:rsidP="005B3FF5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II - Não constar em processo fiscalizatório e/ou ético-disciplinar em tramitação nos CAU/UF ou no CAU/BR; e</w:t>
      </w:r>
    </w:p>
    <w:p w14:paraId="3E397BDC" w14:textId="77777777" w:rsidR="005B3FF5" w:rsidRPr="0028741E" w:rsidRDefault="005B3FF5" w:rsidP="005B3FF5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28741E">
        <w:rPr>
          <w:rFonts w:asciiTheme="majorHAnsi" w:hAnsiTheme="majorHAnsi" w:cs="Times New Roman"/>
          <w:i/>
          <w:lang w:val="pt-BR"/>
        </w:rPr>
        <w:t>III – Não possuir Registro de Responsabilidade Técnica (RRT) sem a devida baixa no CAU”.</w:t>
      </w:r>
    </w:p>
    <w:p w14:paraId="3E51851B" w14:textId="77777777" w:rsidR="005B3FF5" w:rsidRDefault="005B3FF5" w:rsidP="005B3FF5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14:paraId="586C4302" w14:textId="77777777" w:rsidR="005B3FF5" w:rsidRDefault="005B3FF5" w:rsidP="005B3FF5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§ 2º O profissional com registro interrompido estará impedido de exercer atividades de Arquitetura e Urbanismo no Brasil e de usar o título de arquiteto(a) e urbanista para fins de exercício profissional”.</w:t>
      </w:r>
    </w:p>
    <w:p w14:paraId="4C539AA3" w14:textId="77777777" w:rsidR="005B3FF5" w:rsidRDefault="005B3FF5" w:rsidP="005B3FF5">
      <w:pPr>
        <w:rPr>
          <w:rFonts w:asciiTheme="majorHAnsi" w:hAnsiTheme="majorHAnsi" w:cs="Times New Roman"/>
          <w:lang w:val="pt-BR"/>
        </w:rPr>
      </w:pPr>
    </w:p>
    <w:p w14:paraId="3E60432B" w14:textId="77777777" w:rsidR="005B3FF5" w:rsidRDefault="005B3FF5" w:rsidP="005B3FF5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A121BA">
        <w:rPr>
          <w:rFonts w:asciiTheme="majorHAnsi" w:hAnsiTheme="majorHAnsi" w:cs="Times New Roman"/>
          <w:lang w:val="pt-BR"/>
        </w:rPr>
        <w:t>Considerando que o § 2º do art. 11 da Resolução nº 193, de 24 de setembro de 2020 do CAU/BR dispõe que é condição de admissibilidade do requerimento a existência de situação de isenção, desconto ou ressarcimento prevista nos atos normativos do CAU/BR;</w:t>
      </w:r>
    </w:p>
    <w:p w14:paraId="0DFDAE4D" w14:textId="77777777" w:rsidR="005B3FF5" w:rsidRDefault="005B3FF5" w:rsidP="005B3FF5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814861B" w14:textId="77777777" w:rsidR="005B3FF5" w:rsidRDefault="005B3FF5" w:rsidP="005B3FF5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Art. 5° da Lei Federal n° 12.514, de 28 de outubro de 2011, que trata das contribuições devidas aos conselhos profissionais em geral, e dispõe:</w:t>
      </w:r>
    </w:p>
    <w:p w14:paraId="26699440" w14:textId="77777777" w:rsidR="005B3FF5" w:rsidRDefault="005B3FF5" w:rsidP="005B3FF5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B6917F1" w14:textId="77777777" w:rsidR="005B3FF5" w:rsidRPr="00C9337A" w:rsidRDefault="005B3FF5" w:rsidP="005B3FF5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“</w:t>
      </w:r>
      <w:r w:rsidRPr="00C9337A">
        <w:rPr>
          <w:rFonts w:asciiTheme="majorHAnsi" w:hAnsiTheme="majorHAnsi" w:cs="Times New Roman"/>
          <w:i/>
          <w:lang w:val="pt-BR"/>
        </w:rPr>
        <w:t>Art. 5º O fato gerador das anuidades é a existência de inscrição no conselho, ainda que por tempo limitado, ao longo do exercício</w:t>
      </w:r>
      <w:r>
        <w:rPr>
          <w:rFonts w:asciiTheme="majorHAnsi" w:hAnsiTheme="majorHAnsi" w:cs="Times New Roman"/>
          <w:i/>
          <w:lang w:val="pt-BR"/>
        </w:rPr>
        <w:t>”</w:t>
      </w:r>
      <w:r w:rsidRPr="00C9337A">
        <w:rPr>
          <w:rFonts w:asciiTheme="majorHAnsi" w:hAnsiTheme="majorHAnsi" w:cs="Times New Roman"/>
          <w:i/>
          <w:lang w:val="pt-BR"/>
        </w:rPr>
        <w:t>.</w:t>
      </w:r>
    </w:p>
    <w:p w14:paraId="49C85756" w14:textId="77777777" w:rsidR="005B3FF5" w:rsidRDefault="005B3FF5" w:rsidP="005B3FF5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A518BD" w14:textId="77777777" w:rsidR="005C77F6" w:rsidRDefault="005B3FF5" w:rsidP="005B3FF5">
      <w:pPr>
        <w:jc w:val="both"/>
        <w:rPr>
          <w:rFonts w:asciiTheme="majorHAnsi" w:hAnsiTheme="majorHAnsi"/>
          <w:lang w:val="pt-BR"/>
        </w:rPr>
      </w:pPr>
      <w:r w:rsidRPr="00193F06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processo de interrupção do registro profissional, pessoa física, aberto pela requerente em 12/02/2015, por meio do Protocolo SICCAU n°</w:t>
      </w:r>
      <w:r>
        <w:rPr>
          <w:rFonts w:asciiTheme="majorHAnsi" w:hAnsiTheme="majorHAnsi" w:cs="Times New Roman"/>
          <w:lang w:val="pt-BR"/>
        </w:rPr>
        <w:t xml:space="preserve"> </w:t>
      </w:r>
      <w:r w:rsidRPr="005B3FF5">
        <w:rPr>
          <w:rFonts w:asciiTheme="majorHAnsi" w:hAnsiTheme="majorHAnsi"/>
          <w:lang w:val="pt-BR"/>
        </w:rPr>
        <w:t>944970/2019</w:t>
      </w:r>
      <w:r>
        <w:rPr>
          <w:rFonts w:asciiTheme="majorHAnsi" w:hAnsiTheme="majorHAnsi"/>
          <w:lang w:val="pt-BR"/>
        </w:rPr>
        <w:t xml:space="preserve">, cadastrado pela requerente em 20/08/2019, contudo, sem </w:t>
      </w:r>
      <w:r w:rsidR="005C77F6">
        <w:rPr>
          <w:rFonts w:asciiTheme="majorHAnsi" w:hAnsiTheme="majorHAnsi"/>
          <w:lang w:val="pt-BR"/>
        </w:rPr>
        <w:t xml:space="preserve">o devido cumprimento dos normativos vigentes, uma vez que constava à </w:t>
      </w:r>
      <w:r w:rsidR="005C77F6">
        <w:rPr>
          <w:rFonts w:asciiTheme="majorHAnsi" w:hAnsiTheme="majorHAnsi"/>
          <w:lang w:val="pt-BR"/>
        </w:rPr>
        <w:lastRenderedPageBreak/>
        <w:t>época RRT pendente de baixa em sua página profissional;</w:t>
      </w:r>
    </w:p>
    <w:p w14:paraId="112C76C7" w14:textId="77777777" w:rsidR="005C77F6" w:rsidRDefault="005C77F6" w:rsidP="005B3FF5">
      <w:pPr>
        <w:jc w:val="both"/>
        <w:rPr>
          <w:rFonts w:asciiTheme="majorHAnsi" w:hAnsiTheme="majorHAnsi"/>
          <w:lang w:val="pt-BR"/>
        </w:rPr>
      </w:pPr>
    </w:p>
    <w:p w14:paraId="480CDDFE" w14:textId="47507533" w:rsidR="005D1ADF" w:rsidRDefault="005C77F6" w:rsidP="005B3FF5">
      <w:pPr>
        <w:jc w:val="both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Considerando o arquivamento do processo</w:t>
      </w:r>
      <w:r w:rsidR="005B3FF5">
        <w:rPr>
          <w:rFonts w:asciiTheme="majorHAnsi" w:hAnsiTheme="majorHAnsi"/>
          <w:lang w:val="pt-BR"/>
        </w:rPr>
        <w:t xml:space="preserve"> </w:t>
      </w:r>
      <w:r>
        <w:rPr>
          <w:rFonts w:asciiTheme="majorHAnsi" w:hAnsiTheme="majorHAnsi"/>
          <w:lang w:val="pt-BR"/>
        </w:rPr>
        <w:t>pelo</w:t>
      </w:r>
      <w:r w:rsidR="005B3FF5">
        <w:rPr>
          <w:rFonts w:asciiTheme="majorHAnsi" w:hAnsiTheme="majorHAnsi"/>
          <w:lang w:val="pt-BR"/>
        </w:rPr>
        <w:t xml:space="preserve"> não cumprimento dos despachos de diligência encaminhados pelo setor de análise</w:t>
      </w:r>
      <w:r>
        <w:rPr>
          <w:rFonts w:asciiTheme="majorHAnsi" w:hAnsiTheme="majorHAnsi"/>
          <w:lang w:val="pt-BR"/>
        </w:rPr>
        <w:t>, uma vez que o RRT permaneceu pendente de baixa na página da requerente</w:t>
      </w:r>
      <w:r w:rsidR="005B3FF5">
        <w:rPr>
          <w:rFonts w:asciiTheme="majorHAnsi" w:hAnsiTheme="majorHAnsi"/>
          <w:lang w:val="pt-BR"/>
        </w:rPr>
        <w:t>;</w:t>
      </w:r>
    </w:p>
    <w:p w14:paraId="6E3C3386" w14:textId="16919AFC" w:rsidR="005B3FF5" w:rsidRDefault="005B3FF5" w:rsidP="005B3FF5">
      <w:pPr>
        <w:jc w:val="both"/>
        <w:rPr>
          <w:rFonts w:asciiTheme="majorHAnsi" w:hAnsiTheme="majorHAnsi"/>
          <w:lang w:val="pt-BR"/>
        </w:rPr>
      </w:pPr>
    </w:p>
    <w:p w14:paraId="153C8307" w14:textId="77777777" w:rsidR="005B3FF5" w:rsidRDefault="005B3FF5" w:rsidP="005B3FF5">
      <w:pPr>
        <w:jc w:val="both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Considerando mensagem eletrônica encaminhada pela requerente em 30 de março de 2022, com solicitação de recurso quanto ao arquivamento do processo, em função dos argumentos que menciona;</w:t>
      </w:r>
    </w:p>
    <w:p w14:paraId="0F926ED2" w14:textId="77777777" w:rsidR="005B3FF5" w:rsidRDefault="005B3FF5" w:rsidP="005B3FF5">
      <w:pPr>
        <w:jc w:val="both"/>
        <w:rPr>
          <w:rFonts w:asciiTheme="majorHAnsi" w:hAnsiTheme="majorHAnsi"/>
          <w:lang w:val="pt-BR"/>
        </w:rPr>
      </w:pPr>
    </w:p>
    <w:p w14:paraId="56524D17" w14:textId="1B5C52CF" w:rsidR="0008559A" w:rsidRDefault="005B3FF5" w:rsidP="005C77F6">
      <w:pPr>
        <w:jc w:val="both"/>
        <w:rPr>
          <w:rFonts w:asciiTheme="majorHAnsi" w:hAnsiTheme="majorHAnsi" w:cs="Times New Roman"/>
          <w:b/>
          <w:lang w:val="pt-BR"/>
        </w:rPr>
      </w:pPr>
      <w:r>
        <w:rPr>
          <w:rFonts w:asciiTheme="majorHAnsi" w:hAnsiTheme="majorHAnsi"/>
          <w:lang w:val="pt-BR"/>
        </w:rPr>
        <w:t xml:space="preserve"> </w:t>
      </w:r>
      <w:r w:rsidR="0008559A"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68775F13" w14:textId="77777777" w:rsidR="00B72A52" w:rsidRPr="008C59E1" w:rsidRDefault="00B72A52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69D7DD96" w14:textId="6B899EA6" w:rsidR="005C77F6" w:rsidRDefault="005C77F6" w:rsidP="005C77F6">
      <w:pPr>
        <w:pStyle w:val="PargrafodaLista"/>
        <w:numPr>
          <w:ilvl w:val="0"/>
          <w:numId w:val="1"/>
        </w:numPr>
        <w:suppressLineNumbers/>
        <w:spacing w:before="120" w:after="120" w:line="300" w:lineRule="auto"/>
        <w:ind w:left="714" w:hanging="357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Considerar como procedentes as contrarrazões apresentadas pela requerente</w:t>
      </w:r>
      <w:r>
        <w:rPr>
          <w:rFonts w:asciiTheme="majorHAnsi" w:hAnsiTheme="majorHAnsi"/>
          <w:lang w:val="pt-BR"/>
        </w:rPr>
        <w:t xml:space="preserve"> </w:t>
      </w:r>
      <w:r w:rsidRPr="005B3FF5">
        <w:rPr>
          <w:rFonts w:asciiTheme="majorHAnsi" w:hAnsiTheme="majorHAnsi" w:cs="Times New Roman"/>
          <w:lang w:val="pt-BR"/>
        </w:rPr>
        <w:t>ANA PAULA GONCALVES PIRES</w:t>
      </w:r>
      <w:r w:rsidRPr="005C77F6">
        <w:rPr>
          <w:rFonts w:asciiTheme="majorHAnsi" w:hAnsiTheme="majorHAnsi" w:cs="Times New Roman"/>
          <w:lang w:val="pt-BR"/>
        </w:rPr>
        <w:t xml:space="preserve">, CAU N° </w:t>
      </w:r>
      <w:r w:rsidRPr="005B3FF5">
        <w:rPr>
          <w:rFonts w:asciiTheme="majorHAnsi" w:hAnsiTheme="majorHAnsi" w:cs="Times New Roman"/>
          <w:lang w:val="pt-BR"/>
        </w:rPr>
        <w:t>A558338</w:t>
      </w:r>
      <w:r>
        <w:rPr>
          <w:rFonts w:asciiTheme="majorHAnsi" w:hAnsiTheme="majorHAnsi"/>
          <w:lang w:val="pt-BR"/>
        </w:rPr>
        <w:t xml:space="preserve">, pois, embora a interrupção do registro profissional, pessoa física, tenha sido efetivada </w:t>
      </w:r>
      <w:r w:rsidRPr="00741663">
        <w:rPr>
          <w:rFonts w:asciiTheme="majorHAnsi" w:hAnsiTheme="majorHAnsi"/>
          <w:lang w:val="pt-BR"/>
        </w:rPr>
        <w:t>rigorosamente nos termos dos normativos vigentes</w:t>
      </w:r>
      <w:r>
        <w:rPr>
          <w:rFonts w:asciiTheme="majorHAnsi" w:hAnsiTheme="majorHAnsi"/>
          <w:lang w:val="pt-BR"/>
        </w:rPr>
        <w:t>, é perceptível a boa-fé da requerente nos argumentos apresentados, uma vez que não foi emitido nenhum RRT em todo o período de registro da profissional junto ao CAU;</w:t>
      </w:r>
    </w:p>
    <w:p w14:paraId="195CAE1E" w14:textId="19983BA5" w:rsidR="005C77F6" w:rsidRDefault="005C77F6" w:rsidP="005C77F6">
      <w:pPr>
        <w:pStyle w:val="PargrafodaLista"/>
        <w:numPr>
          <w:ilvl w:val="0"/>
          <w:numId w:val="1"/>
        </w:numPr>
        <w:suppressLineNumbers/>
        <w:spacing w:before="120" w:after="120" w:line="300" w:lineRule="auto"/>
        <w:ind w:left="714" w:hanging="357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Acolher a solicitação de interrupção de registro profissional retroativa, e considerar como data de fim do registro da requerente a data de sua primeira comunicação sobre sua intenção de interromper o registro profissional pessoa física ocorreu em 12 de fevereiro de 2015;</w:t>
      </w:r>
    </w:p>
    <w:p w14:paraId="13907A96" w14:textId="1AEFBC50" w:rsidR="005C77F6" w:rsidRPr="008B70A5" w:rsidRDefault="005C77F6" w:rsidP="005C77F6">
      <w:pPr>
        <w:pStyle w:val="PargrafodaLista"/>
        <w:numPr>
          <w:ilvl w:val="0"/>
          <w:numId w:val="1"/>
        </w:numPr>
        <w:suppressLineNumbers/>
        <w:spacing w:before="120" w:after="120" w:line="300" w:lineRule="auto"/>
        <w:ind w:left="714" w:hanging="357"/>
        <w:rPr>
          <w:rFonts w:asciiTheme="majorHAnsi" w:hAnsiTheme="majorHAnsi"/>
          <w:lang w:val="pt-BR"/>
        </w:rPr>
      </w:pPr>
      <w:r>
        <w:rPr>
          <w:rFonts w:asciiTheme="majorHAnsi" w:hAnsiTheme="majorHAnsi" w:cs="Arial"/>
          <w:color w:val="000000"/>
          <w:lang w:val="pt-BR"/>
        </w:rPr>
        <w:t xml:space="preserve">Orientar o Setor de Alteração de Registros do CAU/MG a proceder com a interrupção do registro do requerente, com data retroativa à </w:t>
      </w:r>
      <w:r>
        <w:rPr>
          <w:rFonts w:asciiTheme="majorHAnsi" w:hAnsiTheme="majorHAnsi"/>
          <w:lang w:val="pt-BR"/>
        </w:rPr>
        <w:t>20</w:t>
      </w:r>
      <w:r>
        <w:rPr>
          <w:rFonts w:asciiTheme="majorHAnsi" w:hAnsiTheme="majorHAnsi"/>
          <w:lang w:val="pt-BR"/>
        </w:rPr>
        <w:t xml:space="preserve"> de </w:t>
      </w:r>
      <w:r>
        <w:rPr>
          <w:rFonts w:asciiTheme="majorHAnsi" w:hAnsiTheme="majorHAnsi"/>
          <w:lang w:val="pt-BR"/>
        </w:rPr>
        <w:t>agosto</w:t>
      </w:r>
      <w:r>
        <w:rPr>
          <w:rFonts w:asciiTheme="majorHAnsi" w:hAnsiTheme="majorHAnsi"/>
          <w:lang w:val="pt-BR"/>
        </w:rPr>
        <w:t xml:space="preserve"> de 201</w:t>
      </w:r>
      <w:r>
        <w:rPr>
          <w:rFonts w:asciiTheme="majorHAnsi" w:hAnsiTheme="majorHAnsi"/>
          <w:lang w:val="pt-BR"/>
        </w:rPr>
        <w:t>9</w:t>
      </w:r>
      <w:r>
        <w:rPr>
          <w:rFonts w:asciiTheme="majorHAnsi" w:hAnsiTheme="majorHAnsi" w:cs="Arial"/>
          <w:color w:val="000000"/>
          <w:lang w:val="pt-BR"/>
        </w:rPr>
        <w:t>;</w:t>
      </w:r>
    </w:p>
    <w:p w14:paraId="112B1D1E" w14:textId="53E86C3F" w:rsidR="008C59E1" w:rsidRDefault="008C59E1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</w:t>
      </w:r>
      <w:r w:rsidR="005C77F6">
        <w:rPr>
          <w:rFonts w:asciiTheme="majorHAnsi" w:hAnsiTheme="majorHAnsi" w:cs="Arial"/>
          <w:color w:val="000000"/>
          <w:lang w:val="pt-BR"/>
        </w:rPr>
        <w:t>o Setor de Alteração de Registro Profissional, para providências cabíveis e comunicação à requerente</w:t>
      </w:r>
      <w:r w:rsidR="007A2CC1">
        <w:rPr>
          <w:rFonts w:asciiTheme="majorHAnsi" w:hAnsiTheme="majorHAnsi" w:cs="Arial"/>
          <w:color w:val="000000"/>
          <w:lang w:val="pt-BR"/>
        </w:rPr>
        <w:t>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0D98F1F1" w14:textId="7CEEFFE3" w:rsidR="00EB3D37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5D1ADF" w:rsidRPr="00074EFC">
        <w:rPr>
          <w:rFonts w:asciiTheme="majorHAnsi" w:hAnsiTheme="majorHAnsi" w:cs="Times New Roman"/>
          <w:lang w:val="pt-BR"/>
        </w:rPr>
        <w:t>2</w:t>
      </w:r>
      <w:r w:rsidR="00074EFC" w:rsidRPr="00074EFC">
        <w:rPr>
          <w:rFonts w:asciiTheme="majorHAnsi" w:hAnsiTheme="majorHAnsi" w:cs="Times New Roman"/>
          <w:lang w:val="pt-BR"/>
        </w:rPr>
        <w:t>5</w:t>
      </w:r>
      <w:r w:rsidR="002B7732" w:rsidRPr="00074EFC">
        <w:rPr>
          <w:rFonts w:asciiTheme="majorHAnsi" w:hAnsiTheme="majorHAnsi" w:cs="Times New Roman"/>
          <w:lang w:val="pt-BR"/>
        </w:rPr>
        <w:t xml:space="preserve"> de </w:t>
      </w:r>
      <w:r w:rsidR="00074EFC" w:rsidRPr="00074EFC">
        <w:rPr>
          <w:rFonts w:asciiTheme="majorHAnsi" w:hAnsiTheme="majorHAnsi" w:cs="Times New Roman"/>
          <w:lang w:val="pt-BR"/>
        </w:rPr>
        <w:t>abril</w:t>
      </w:r>
      <w:r w:rsidR="002B7732" w:rsidRPr="00074EFC">
        <w:rPr>
          <w:rFonts w:asciiTheme="majorHAnsi" w:hAnsiTheme="majorHAnsi" w:cs="Times New Roman"/>
          <w:lang w:val="pt-BR"/>
        </w:rPr>
        <w:t xml:space="preserve"> de 202</w:t>
      </w:r>
      <w:r w:rsidR="00CD2BBF" w:rsidRPr="00074EFC">
        <w:rPr>
          <w:rFonts w:asciiTheme="majorHAnsi" w:hAnsiTheme="majorHAnsi" w:cs="Times New Roman"/>
          <w:lang w:val="pt-BR"/>
        </w:rPr>
        <w:t>2</w:t>
      </w:r>
      <w:r w:rsidR="00584354" w:rsidRPr="00074EFC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6E74455E" w:rsidR="00B21808" w:rsidRDefault="00E42659" w:rsidP="00E42659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18</w:t>
      </w:r>
      <w:r w:rsidR="00074EFC"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9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3F6A6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4</w:t>
      </w:r>
      <w:r w:rsidR="007A2CC1" w:rsidRPr="00B72A52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160076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3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 w:rsidR="00CD2BB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26C82D7E" w14:textId="77777777" w:rsidR="00B72A52" w:rsidRPr="008C59E1" w:rsidRDefault="00B72A52" w:rsidP="00E42659">
      <w:pPr>
        <w:jc w:val="center"/>
        <w:rPr>
          <w:rFonts w:asciiTheme="majorHAnsi" w:eastAsiaTheme="minorHAnsi" w:hAnsiTheme="majorHAnsi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340EEC" w14:paraId="1DE95ADA" w14:textId="77777777" w:rsidTr="006D2FF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04391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0E63C5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165C8D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340EEC" w14:paraId="2F90C9C7" w14:textId="77777777" w:rsidTr="006D2FF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1791" w14:textId="77777777" w:rsidR="00340EEC" w:rsidRDefault="00340EEC" w:rsidP="006D2F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47DC4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5CD9ADDC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EFC19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79E38510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74BFA2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E87768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39842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340EEC" w:rsidRPr="00CB2546" w14:paraId="10ED288F" w14:textId="77777777" w:rsidTr="006D2FF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CF090" w14:textId="06A052F5" w:rsidR="00340EEC" w:rsidRPr="0044259C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5691B" w14:textId="55611ED7" w:rsidR="00340EEC" w:rsidRPr="0044259C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DEB68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CA9E9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F11CC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A989B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340EEC" w:rsidRPr="00CB2546" w14:paraId="41C47C9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9BCE7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4310EAA5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6982D" w14:textId="13AC121E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8E731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A0B8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A2EBD" w14:textId="09E8FA32" w:rsidR="00340EEC" w:rsidRPr="00CB2546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FCE91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CB2546" w14:paraId="77C976B7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BDC76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875522A" w14:textId="77777777" w:rsidR="00340EEC" w:rsidRPr="00ED10F2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DF10C" w14:textId="49D30CB5" w:rsidR="00340EEC" w:rsidRPr="00CB2546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52065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87DAA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9945D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D70B3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CB2546" w14:paraId="257DEC7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C35B5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49051188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E71C2" w14:textId="409B4C9A" w:rsidR="00340EEC" w:rsidRPr="00EC3313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F1A23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A7174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F4696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39AF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53130FDB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9206527" w14:textId="5AD5597D" w:rsidR="00B72A52" w:rsidRDefault="00B72A52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5D705D3" w14:textId="65073B54" w:rsidR="00B72A52" w:rsidRDefault="00B72A52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A780ABE" w14:textId="77777777" w:rsidR="005D1ADF" w:rsidRDefault="005D1ADF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D8CA1E" w14:textId="057DE790" w:rsidR="00303BF4" w:rsidRPr="00F77EDC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303BF4" w:rsidRPr="00F77EDC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403B3" w14:textId="77777777" w:rsidR="00BF2D84" w:rsidRDefault="00BF2D84" w:rsidP="007E22C9">
      <w:r>
        <w:separator/>
      </w:r>
    </w:p>
  </w:endnote>
  <w:endnote w:type="continuationSeparator" w:id="0">
    <w:p w14:paraId="32866ABC" w14:textId="77777777" w:rsidR="00BF2D84" w:rsidRDefault="00BF2D8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DF759" w14:textId="77777777" w:rsidR="00BF2D84" w:rsidRDefault="00BF2D84" w:rsidP="007E22C9">
      <w:r>
        <w:separator/>
      </w:r>
    </w:p>
  </w:footnote>
  <w:footnote w:type="continuationSeparator" w:id="0">
    <w:p w14:paraId="42E1D418" w14:textId="77777777" w:rsidR="00BF2D84" w:rsidRDefault="00BF2D8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358838">
    <w:abstractNumId w:val="1"/>
  </w:num>
  <w:num w:numId="2" w16cid:durableId="44361546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4EFC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45D50"/>
    <w:rsid w:val="001512FD"/>
    <w:rsid w:val="00156AEA"/>
    <w:rsid w:val="00160076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2E63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3F6A60"/>
    <w:rsid w:val="004164C8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B3FF5"/>
    <w:rsid w:val="005C366A"/>
    <w:rsid w:val="005C6C3B"/>
    <w:rsid w:val="005C77F6"/>
    <w:rsid w:val="005D1468"/>
    <w:rsid w:val="005D1ADF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D38D1"/>
    <w:rsid w:val="009E20A6"/>
    <w:rsid w:val="009E42EB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97B5B"/>
    <w:rsid w:val="00AA0161"/>
    <w:rsid w:val="00AB4165"/>
    <w:rsid w:val="00AB6035"/>
    <w:rsid w:val="00AB6778"/>
    <w:rsid w:val="00AD1853"/>
    <w:rsid w:val="00AD481C"/>
    <w:rsid w:val="00AD7073"/>
    <w:rsid w:val="00AD7319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66691"/>
    <w:rsid w:val="00B72A52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2D84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2546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11</cp:revision>
  <cp:lastPrinted>2022-01-24T14:46:00Z</cp:lastPrinted>
  <dcterms:created xsi:type="dcterms:W3CDTF">2022-02-22T12:12:00Z</dcterms:created>
  <dcterms:modified xsi:type="dcterms:W3CDTF">2022-05-05T17:02:00Z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