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226361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45972907" w:rsidR="00D673DB" w:rsidRPr="001D7E07" w:rsidRDefault="00FE58E4" w:rsidP="00FE58E4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Resolução CAU/BR N° 91/2014</w:t>
            </w:r>
            <w:r w:rsidR="001D7E07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1D7E07" w:rsidRPr="001D7E07">
              <w:rPr>
                <w:rFonts w:asciiTheme="majorHAnsi" w:hAnsiTheme="majorHAnsi" w:cs="Times New Roman"/>
                <w:lang w:val="pt-BR"/>
              </w:rPr>
              <w:t xml:space="preserve">Protocolo SICCAU n° </w:t>
            </w:r>
            <w:r w:rsidR="001D7E07">
              <w:rPr>
                <w:rFonts w:asciiTheme="majorHAnsi" w:hAnsiTheme="majorHAnsi"/>
                <w:sz w:val="21"/>
                <w:szCs w:val="21"/>
                <w:lang w:val="pt-BR"/>
              </w:rPr>
              <w:t>1406083</w:t>
            </w:r>
            <w:r w:rsidR="001D7E07" w:rsidRPr="001D7E07">
              <w:rPr>
                <w:rFonts w:asciiTheme="majorHAnsi" w:hAnsiTheme="majorHAnsi" w:cs="Times New Roman"/>
                <w:lang w:val="pt-BR"/>
              </w:rPr>
              <w:t>/202</w:t>
            </w:r>
            <w:r w:rsidR="001D7E07">
              <w:rPr>
                <w:rFonts w:asciiTheme="majorHAnsi" w:hAnsiTheme="majorHAnsi" w:cs="Times New Roman"/>
                <w:lang w:val="pt-BR"/>
              </w:rPr>
              <w:t>1</w:t>
            </w:r>
          </w:p>
        </w:tc>
      </w:tr>
      <w:tr w:rsidR="00D673DB" w:rsidRPr="00226361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884DDCD" w:rsidR="003E22CE" w:rsidRPr="00F11990" w:rsidRDefault="00D673DB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A4589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Plenário de Conselheiros</w:t>
            </w:r>
            <w:r w:rsidR="00AC2C8D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</w:t>
            </w:r>
          </w:p>
        </w:tc>
      </w:tr>
      <w:tr w:rsidR="00D673DB" w:rsidRPr="00226361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6E180F50" w:rsidR="00D673DB" w:rsidRPr="00F11990" w:rsidRDefault="00FE58E4" w:rsidP="00F11990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P</w:t>
            </w:r>
            <w:r w:rsidRPr="00FE58E4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ropostas de alteração da Resolução CAU/BR N° 91/2014</w:t>
            </w:r>
          </w:p>
        </w:tc>
      </w:tr>
      <w:bookmarkEnd w:id="0"/>
      <w:tr w:rsidR="00D673DB" w:rsidRPr="00226361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226361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0458901B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18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001452" w14:textId="77777777" w:rsidR="001D7E07" w:rsidRPr="00C41497" w:rsidRDefault="001D7E07" w:rsidP="001D7E07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21</w:t>
      </w:r>
      <w:r w:rsidRPr="00C41497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fevereiro</w:t>
      </w:r>
      <w:r w:rsidRPr="00C41497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5C1867C7" w14:textId="77777777" w:rsidR="001D7E07" w:rsidRPr="00C41497" w:rsidRDefault="001D7E07" w:rsidP="001D7E07">
      <w:pPr>
        <w:jc w:val="both"/>
        <w:rPr>
          <w:rFonts w:asciiTheme="majorHAnsi" w:hAnsiTheme="majorHAnsi" w:cs="Times New Roman"/>
          <w:lang w:val="pt-BR"/>
        </w:rPr>
      </w:pPr>
    </w:p>
    <w:p w14:paraId="2F521CE7" w14:textId="77777777" w:rsidR="001D7E07" w:rsidRPr="00C41497" w:rsidRDefault="001D7E07" w:rsidP="00D6184A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BC2813E" w14:textId="1FA59516" w:rsidR="00105EC1" w:rsidRPr="008B36A9" w:rsidRDefault="00105EC1" w:rsidP="00D6184A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14DD56B" w14:textId="0E64F5F9" w:rsidR="00B64488" w:rsidRDefault="00B64488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D38FD3C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3CCD6E67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3E57E3D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20C5D7E0" w14:textId="77777777" w:rsidR="00B64488" w:rsidRP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a) fiscalização;</w:t>
      </w:r>
    </w:p>
    <w:p w14:paraId="4CCD022E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8F6E813" w14:textId="04DC9CA6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64488">
        <w:rPr>
          <w:rFonts w:asciiTheme="majorHAnsi" w:hAnsiTheme="majorHAnsi" w:cs="Times New Roman"/>
          <w:i/>
          <w:iCs/>
          <w:sz w:val="21"/>
          <w:szCs w:val="21"/>
          <w:lang w:val="pt-BR"/>
        </w:rPr>
        <w:t>i) atividades técnicas no exercício da Arquitetura e Urbanismo;</w:t>
      </w:r>
    </w:p>
    <w:p w14:paraId="6ABF207A" w14:textId="77777777" w:rsidR="00B64488" w:rsidRDefault="00B64488" w:rsidP="00B6448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31DFFFB" w14:textId="29A78359" w:rsidR="00B64488" w:rsidRDefault="00B64488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</w:t>
      </w:r>
      <w:r w:rsidR="00EC48BD">
        <w:rPr>
          <w:rFonts w:asciiTheme="majorHAnsi" w:hAnsiTheme="majorHAnsi" w:cs="Times New Roman"/>
          <w:lang w:val="pt-BR"/>
        </w:rPr>
        <w:t>Resolução CAU/BR N° 91, de 9 de outubro de 2014, que dispõe sobre o Registro de Responsabilidade Técnica (RRT) referente a projetos, obras e demais serviços técnicos no âmbito da Arquitetura e Urbanismo e dá outras providências;</w:t>
      </w:r>
    </w:p>
    <w:p w14:paraId="0EA58ADB" w14:textId="77777777" w:rsidR="00CC54F9" w:rsidRPr="00021A65" w:rsidRDefault="00CC54F9" w:rsidP="00D6212F">
      <w:pPr>
        <w:spacing w:before="120" w:after="120"/>
        <w:jc w:val="both"/>
        <w:rPr>
          <w:rFonts w:asciiTheme="majorHAnsi" w:hAnsiTheme="majorHAnsi" w:cs="Times New Roman"/>
          <w:lang w:val="pt-BR"/>
        </w:rPr>
      </w:pPr>
      <w:r w:rsidRPr="00021A65">
        <w:rPr>
          <w:rFonts w:asciiTheme="majorHAnsi" w:hAnsiTheme="majorHAnsi" w:cs="Times New Roman"/>
          <w:lang w:val="pt-BR"/>
        </w:rPr>
        <w:t>Considerando Resolução CAU/BR N° 177, de 31 de julho de 2019, que dispõe sobre o Registro de Responsabilidade Técnica (RRT), quanto ao RRT Mínimo e RRT Retificador, cria o RRT Social e dá outras providências.</w:t>
      </w:r>
    </w:p>
    <w:p w14:paraId="54F3E035" w14:textId="77777777" w:rsidR="00CC54F9" w:rsidRDefault="00CC54F9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CC54F9">
        <w:rPr>
          <w:rFonts w:asciiTheme="majorHAnsi" w:hAnsiTheme="majorHAnsi" w:cs="Times New Roman"/>
          <w:lang w:val="pt-BR"/>
        </w:rPr>
        <w:t>Considerando Resolução CAU/BR N° 184, de 22 de novembro de 2019, que altera as Resoluções CAU/BR nº 91, de 9 de outubro de 2014, e nº 93, de 7 de novembro de 2014, que dispõem, respectivamente, sobre o Registro de Responsabilidade Técnica (RRT) e sobre a emissão de certidões pelos Conselhos de Arquitetura e Urbanismo dos Estados e do Distrito Federal (CAU/UF) e dá outras providências</w:t>
      </w:r>
      <w:r>
        <w:rPr>
          <w:rFonts w:asciiTheme="majorHAnsi" w:hAnsiTheme="majorHAnsi" w:cs="Times New Roman"/>
          <w:lang w:val="pt-BR"/>
        </w:rPr>
        <w:t>, que estabelece:</w:t>
      </w:r>
    </w:p>
    <w:p w14:paraId="6B7ABCC5" w14:textId="77777777" w:rsidR="00CC54F9" w:rsidRPr="00CC54F9" w:rsidRDefault="00CC54F9" w:rsidP="00D6212F">
      <w:pPr>
        <w:suppressLineNumbers/>
        <w:spacing w:before="120" w:after="120"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CC54F9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10. O CAU/UF pertinente para receber a(s) taxa(s) e, se for o caso, a multa e ser o responsável pelas auditorias periódicas dos </w:t>
      </w:r>
      <w:proofErr w:type="spellStart"/>
      <w:r w:rsidRPr="00CC54F9">
        <w:rPr>
          <w:rFonts w:asciiTheme="majorHAnsi" w:hAnsiTheme="majorHAnsi" w:cs="Times New Roman"/>
          <w:i/>
          <w:iCs/>
          <w:sz w:val="21"/>
          <w:szCs w:val="21"/>
          <w:lang w:val="pt-BR"/>
        </w:rPr>
        <w:t>RRTs</w:t>
      </w:r>
      <w:proofErr w:type="spellEnd"/>
      <w:r w:rsidRPr="00CC54F9">
        <w:rPr>
          <w:rFonts w:asciiTheme="majorHAnsi" w:hAnsiTheme="majorHAnsi" w:cs="Times New Roman"/>
          <w:i/>
          <w:iCs/>
          <w:sz w:val="21"/>
          <w:szCs w:val="21"/>
          <w:lang w:val="pt-BR"/>
        </w:rPr>
        <w:t>, pela fiscalização e pelas análises e aprovações dos procedimentos de RRT e de CAT-A, conforme o caso, será o CAU/UF de jurisdição do endereço da obra ou serviço, objeto do contrato registrado no respectivo RRT.</w:t>
      </w:r>
    </w:p>
    <w:p w14:paraId="73C22BD1" w14:textId="7C15FCF3" w:rsidR="00EC48BD" w:rsidRDefault="001D7E07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n° 183.4.1/2022 – DCEP-CAU/MG, que aprova as propostas de alteração da Resolução CAU/BR N° 91, de 9 de outubro de 2014;</w:t>
      </w:r>
    </w:p>
    <w:p w14:paraId="5EFE764A" w14:textId="357268E2" w:rsidR="001D7E07" w:rsidRDefault="001D7E07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eletrônica, na forma do anexo ao Protocolo SICCAU em epígrafe, encaminhada pela Conselheira Titular do CAU/MG, Fernanda </w:t>
      </w:r>
      <w:proofErr w:type="spellStart"/>
      <w:r>
        <w:rPr>
          <w:rFonts w:asciiTheme="majorHAnsi" w:hAnsiTheme="majorHAnsi" w:cs="Times New Roman"/>
          <w:lang w:val="pt-BR"/>
        </w:rPr>
        <w:t>Basques</w:t>
      </w:r>
      <w:proofErr w:type="spellEnd"/>
      <w:r>
        <w:rPr>
          <w:rFonts w:asciiTheme="majorHAnsi" w:hAnsiTheme="majorHAnsi" w:cs="Times New Roman"/>
          <w:lang w:val="pt-BR"/>
        </w:rPr>
        <w:t xml:space="preserve"> Moura Quintão, que sugere a criação do RRT Social nos moldes que especifica;</w:t>
      </w:r>
    </w:p>
    <w:p w14:paraId="205C21A7" w14:textId="1E64E8F6" w:rsidR="00D6212F" w:rsidRPr="00D6212F" w:rsidRDefault="00D6212F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D6212F">
        <w:rPr>
          <w:rFonts w:asciiTheme="majorHAnsi" w:hAnsiTheme="majorHAnsi" w:cs="Times New Roman"/>
          <w:lang w:val="pt-BR"/>
        </w:rPr>
        <w:t xml:space="preserve">Considerando que o RRT Social </w:t>
      </w:r>
      <w:r>
        <w:rPr>
          <w:rFonts w:asciiTheme="majorHAnsi" w:hAnsiTheme="majorHAnsi" w:cs="Times New Roman"/>
          <w:lang w:val="pt-BR"/>
        </w:rPr>
        <w:t xml:space="preserve">já </w:t>
      </w:r>
      <w:r w:rsidRPr="00D6212F">
        <w:rPr>
          <w:rFonts w:asciiTheme="majorHAnsi" w:hAnsiTheme="majorHAnsi" w:cs="Times New Roman"/>
          <w:lang w:val="pt-BR"/>
        </w:rPr>
        <w:t>foi criado pela Resolução CAU/BR N° 177, de 31 de julho de 2019,</w:t>
      </w:r>
      <w:r>
        <w:rPr>
          <w:rFonts w:asciiTheme="majorHAnsi" w:hAnsiTheme="majorHAnsi" w:cs="Times New Roman"/>
          <w:lang w:val="pt-BR"/>
        </w:rPr>
        <w:t xml:space="preserve"> </w:t>
      </w:r>
      <w:r w:rsidRPr="00D6212F">
        <w:rPr>
          <w:rFonts w:asciiTheme="majorHAnsi" w:hAnsiTheme="majorHAnsi" w:cs="Times New Roman"/>
          <w:lang w:val="pt-BR"/>
        </w:rPr>
        <w:t xml:space="preserve">abarcando, </w:t>
      </w:r>
      <w:r w:rsidRPr="00D6212F">
        <w:rPr>
          <w:rFonts w:asciiTheme="majorHAnsi" w:hAnsiTheme="majorHAnsi" w:cs="Times New Roman"/>
          <w:lang w:val="pt-BR"/>
        </w:rPr>
        <w:lastRenderedPageBreak/>
        <w:t>inclusive, algumas das características propostas na mensagem eletrônica enviada</w:t>
      </w:r>
      <w:r>
        <w:rPr>
          <w:rFonts w:asciiTheme="majorHAnsi" w:hAnsiTheme="majorHAnsi" w:cs="Times New Roman"/>
          <w:lang w:val="pt-BR"/>
        </w:rPr>
        <w:t xml:space="preserve"> pela Conselheira Titular do CAU/MG, Fernanda </w:t>
      </w:r>
      <w:proofErr w:type="spellStart"/>
      <w:r>
        <w:rPr>
          <w:rFonts w:asciiTheme="majorHAnsi" w:hAnsiTheme="majorHAnsi" w:cs="Times New Roman"/>
          <w:lang w:val="pt-BR"/>
        </w:rPr>
        <w:t>Basques</w:t>
      </w:r>
      <w:proofErr w:type="spellEnd"/>
      <w:r>
        <w:rPr>
          <w:rFonts w:asciiTheme="majorHAnsi" w:hAnsiTheme="majorHAnsi" w:cs="Times New Roman"/>
          <w:lang w:val="pt-BR"/>
        </w:rPr>
        <w:t xml:space="preserve"> Moura Quintão</w:t>
      </w:r>
      <w:r w:rsidRPr="00D6212F">
        <w:rPr>
          <w:rFonts w:asciiTheme="majorHAnsi" w:hAnsiTheme="majorHAnsi" w:cs="Times New Roman"/>
          <w:lang w:val="pt-BR"/>
        </w:rPr>
        <w:t>, como a possibilidade de registro de múltiplos endereços;</w:t>
      </w:r>
    </w:p>
    <w:p w14:paraId="398F3D73" w14:textId="4ECFE3C2" w:rsidR="001D7E07" w:rsidRDefault="001D7E07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eletrônica, na forma do anexo ao Protocolo SICCAU em epígrafe, encaminhada pelo Conselheiro Titular do CAU/MG, Sergio </w:t>
      </w:r>
      <w:proofErr w:type="spellStart"/>
      <w:r>
        <w:rPr>
          <w:rFonts w:asciiTheme="majorHAnsi" w:hAnsiTheme="majorHAnsi" w:cs="Times New Roman"/>
          <w:lang w:val="pt-BR"/>
        </w:rPr>
        <w:t>Myssior</w:t>
      </w:r>
      <w:proofErr w:type="spellEnd"/>
      <w:r>
        <w:rPr>
          <w:rFonts w:asciiTheme="majorHAnsi" w:hAnsiTheme="majorHAnsi" w:cs="Times New Roman"/>
          <w:lang w:val="pt-BR"/>
        </w:rPr>
        <w:t xml:space="preserve">, que sugere </w:t>
      </w:r>
      <w:r w:rsidR="00021A65">
        <w:rPr>
          <w:rFonts w:asciiTheme="majorHAnsi" w:hAnsiTheme="majorHAnsi" w:cs="Times New Roman"/>
          <w:lang w:val="pt-BR"/>
        </w:rPr>
        <w:t>a alteração do campo de preenchimento do</w:t>
      </w:r>
      <w:r>
        <w:rPr>
          <w:rFonts w:asciiTheme="majorHAnsi" w:hAnsiTheme="majorHAnsi" w:cs="Times New Roman"/>
          <w:lang w:val="pt-BR"/>
        </w:rPr>
        <w:t xml:space="preserve"> RRT</w:t>
      </w:r>
      <w:r w:rsidR="00021A65">
        <w:rPr>
          <w:rFonts w:asciiTheme="majorHAnsi" w:hAnsiTheme="majorHAnsi" w:cs="Times New Roman"/>
          <w:lang w:val="pt-BR"/>
        </w:rPr>
        <w:t>, de forma a possibilitar que este recepcione descrições de endereço com a nomenclatura “diversos endereços” – a fim de contemplar atividades com limites geográficos que ultrapassem um único Município –, bem como sugere que as análises para emissão de Certidão de Acervo Técnico com Atestado (CAT-A) sejam realizadas pelo CAU/UF do endereço do profissional, independente do endereço da obra/serviço;</w:t>
      </w:r>
    </w:p>
    <w:p w14:paraId="5FD3206B" w14:textId="1018267F" w:rsidR="001D7E07" w:rsidRDefault="00D6212F" w:rsidP="00D6212F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o tema do preenchimento de endereços nos RRT já foi amplamente debatido no âmbito da CEP-CAU/MG, tendo resultado na publicação recente da Deliberação n° 184.4.2/2021, de 22 de novembro de 2021, que estabelece critérios para preenchimento de endereços em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 w:rsidR="00226361">
        <w:rPr>
          <w:rFonts w:asciiTheme="majorHAnsi" w:hAnsiTheme="majorHAnsi" w:cs="Times New Roman"/>
          <w:lang w:val="pt-BR"/>
        </w:rPr>
        <w:t xml:space="preserve"> e</w:t>
      </w:r>
      <w:r>
        <w:rPr>
          <w:rFonts w:asciiTheme="majorHAnsi" w:hAnsiTheme="majorHAnsi" w:cs="Times New Roman"/>
          <w:lang w:val="pt-BR"/>
        </w:rPr>
        <w:t xml:space="preserve"> para análise dos mesmos</w:t>
      </w:r>
      <w:r w:rsidR="00226361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para fins de emissão de CAT-A, bem como as dificuldades relativas em termos de arrecadação das taxas emitidas para estes serviços junto aos CAU/UF; </w:t>
      </w:r>
    </w:p>
    <w:p w14:paraId="78473DD9" w14:textId="601CB65A" w:rsidR="001D7E07" w:rsidRDefault="001D7E07" w:rsidP="001D7E07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5272B05" w14:textId="7D25202F" w:rsidR="008B36A9" w:rsidRDefault="008B36A9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76514569" w14:textId="45E468DE" w:rsidR="00060F9C" w:rsidRDefault="00D6212F" w:rsidP="00D6212F">
      <w:pPr>
        <w:pStyle w:val="PargrafodaLista"/>
        <w:numPr>
          <w:ilvl w:val="0"/>
          <w:numId w:val="11"/>
        </w:numPr>
        <w:suppressLineNumbers/>
        <w:spacing w:before="120" w:after="120" w:line="276" w:lineRule="auto"/>
        <w:ind w:left="425" w:hanging="425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Não acolher as propostas de alteração encaminhadas pelos Conselheiros Titulares do CAU/MG, por meio do </w:t>
      </w:r>
      <w:r w:rsidRPr="001D7E07">
        <w:rPr>
          <w:rFonts w:asciiTheme="majorHAnsi" w:hAnsiTheme="majorHAnsi" w:cs="Times New Roman"/>
          <w:lang w:val="pt-BR"/>
        </w:rPr>
        <w:t xml:space="preserve">Protocolo SICCAU n° </w:t>
      </w:r>
      <w:r>
        <w:rPr>
          <w:rFonts w:asciiTheme="majorHAnsi" w:hAnsiTheme="majorHAnsi"/>
          <w:sz w:val="21"/>
          <w:szCs w:val="21"/>
          <w:lang w:val="pt-BR"/>
        </w:rPr>
        <w:t>1406083</w:t>
      </w:r>
      <w:r w:rsidRPr="001D7E07">
        <w:rPr>
          <w:rFonts w:asciiTheme="majorHAnsi" w:hAnsiTheme="majorHAnsi" w:cs="Times New Roman"/>
          <w:lang w:val="pt-BR"/>
        </w:rPr>
        <w:t>/202</w:t>
      </w:r>
      <w:r>
        <w:rPr>
          <w:rFonts w:asciiTheme="majorHAnsi" w:hAnsiTheme="majorHAnsi" w:cs="Times New Roman"/>
          <w:lang w:val="pt-BR"/>
        </w:rPr>
        <w:t xml:space="preserve">1; </w:t>
      </w:r>
    </w:p>
    <w:p w14:paraId="57012F74" w14:textId="79625E53" w:rsidR="00CC54F9" w:rsidRDefault="00D6212F" w:rsidP="00D6212F">
      <w:pPr>
        <w:pStyle w:val="PargrafodaLista"/>
        <w:numPr>
          <w:ilvl w:val="0"/>
          <w:numId w:val="11"/>
        </w:numPr>
        <w:suppressLineNumbers/>
        <w:spacing w:before="120" w:after="120" w:line="276" w:lineRule="auto"/>
        <w:ind w:left="425" w:hanging="425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Manter o texto aprovado pela Deliberação n° 183.4.1/2022 – DCEP-CAU/MG, com as propostas de alteração da Resolução CAU/BR N° 91, de 9 de outubro de 2014</w:t>
      </w:r>
      <w:r w:rsidR="00CC54F9">
        <w:rPr>
          <w:rFonts w:asciiTheme="majorHAnsi" w:hAnsiTheme="majorHAnsi" w:cs="Times New Roman"/>
          <w:lang w:val="pt-BR"/>
        </w:rPr>
        <w:t>;</w:t>
      </w:r>
    </w:p>
    <w:p w14:paraId="234B51B9" w14:textId="41FE8FA3" w:rsidR="00613AF8" w:rsidRDefault="00D6212F" w:rsidP="00D6212F">
      <w:pPr>
        <w:pStyle w:val="PargrafodaLista"/>
        <w:numPr>
          <w:ilvl w:val="0"/>
          <w:numId w:val="11"/>
        </w:numPr>
        <w:suppressLineNumbers/>
        <w:spacing w:before="120" w:after="120" w:line="276" w:lineRule="auto"/>
        <w:ind w:left="425" w:hanging="425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esta Deliberação para a Presidência do CAU/MG, para conhecimento e encaminhamentos necessários.</w:t>
      </w:r>
    </w:p>
    <w:p w14:paraId="6BF7C6A5" w14:textId="77777777" w:rsidR="00DE481A" w:rsidRPr="00DE481A" w:rsidRDefault="00DE481A" w:rsidP="00DE481A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68CAE194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D6212F">
        <w:rPr>
          <w:rFonts w:asciiTheme="majorHAnsi" w:hAnsiTheme="majorHAnsi" w:cs="Times New Roman"/>
          <w:lang w:val="pt-BR"/>
        </w:rPr>
        <w:t>21</w:t>
      </w:r>
      <w:r w:rsidR="00B64488" w:rsidRPr="00B64488">
        <w:rPr>
          <w:rFonts w:asciiTheme="majorHAnsi" w:hAnsiTheme="majorHAnsi" w:cs="Times New Roman"/>
          <w:lang w:val="pt-BR"/>
        </w:rPr>
        <w:t xml:space="preserve"> de </w:t>
      </w:r>
      <w:r w:rsidR="00D6212F">
        <w:rPr>
          <w:rFonts w:asciiTheme="majorHAnsi" w:hAnsiTheme="majorHAnsi" w:cs="Times New Roman"/>
          <w:lang w:val="pt-BR"/>
        </w:rPr>
        <w:t>fevereiro</w:t>
      </w:r>
      <w:r w:rsidR="00B64488" w:rsidRPr="00B64488">
        <w:rPr>
          <w:rFonts w:asciiTheme="majorHAnsi" w:hAnsiTheme="majorHAnsi" w:cs="Times New Roman"/>
          <w:lang w:val="pt-BR"/>
        </w:rPr>
        <w:t xml:space="preserve"> </w:t>
      </w:r>
      <w:r w:rsidR="00037BB2" w:rsidRPr="00037BB2">
        <w:rPr>
          <w:rFonts w:asciiTheme="majorHAnsi" w:hAnsiTheme="majorHAnsi" w:cs="Times New Roman"/>
          <w:lang w:val="pt-BR"/>
        </w:rPr>
        <w:t>de 202</w:t>
      </w:r>
      <w:r w:rsidR="00D6212F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.</w:t>
      </w:r>
    </w:p>
    <w:p w14:paraId="4A3CCF8B" w14:textId="19F2ED1A" w:rsidR="000F118D" w:rsidRDefault="000F118D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EABF4EA" w14:textId="2E5191FF" w:rsidR="000F118D" w:rsidRPr="008C59E1" w:rsidRDefault="000F118D" w:rsidP="000F118D">
      <w:pPr>
        <w:jc w:val="center"/>
        <w:rPr>
          <w:rFonts w:asciiTheme="maj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.5.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177EBD9D" w14:textId="77777777" w:rsidR="000F118D" w:rsidRDefault="000F118D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1D7E07" w14:paraId="6F073716" w14:textId="77777777" w:rsidTr="00604ECB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31E098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81DFDD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6076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1D7E07" w14:paraId="080974B6" w14:textId="77777777" w:rsidTr="00604ECB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F39" w14:textId="77777777" w:rsidR="001D7E07" w:rsidRDefault="001D7E07" w:rsidP="00604E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F5444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49DFFE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22EF95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C4E1EF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5C81C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DABBB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60BB97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375E61A7" w14:textId="77777777" w:rsidTr="00604ECB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3053" w14:textId="77777777" w:rsidR="001D7E07" w:rsidRPr="00EC3313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407DC18F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69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E24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F20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5156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12B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496D00E8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50A7A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9FFB6C0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A1B8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CBA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041B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732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5B1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75DFA47C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9AAC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BE2A2E2" w14:textId="77777777" w:rsidR="001D7E07" w:rsidRPr="00ED10F2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8F3F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20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C0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1603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222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51B3584A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1339" w14:textId="77777777" w:rsidR="001D7E07" w:rsidRPr="00EC3313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70C3405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742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5820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B5AA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262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2A51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0AE84805" w14:textId="77777777" w:rsidR="002A522F" w:rsidRDefault="002A522F">
      <w:pPr>
        <w:widowControl/>
        <w:rPr>
          <w:sz w:val="20"/>
          <w:szCs w:val="20"/>
          <w:lang w:val="pt-BR"/>
        </w:rPr>
      </w:pPr>
    </w:p>
    <w:p w14:paraId="0C1F93E1" w14:textId="77777777" w:rsidR="002A522F" w:rsidRDefault="002A522F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78CAB9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672F077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06BD7FF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449FA66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6517EDB3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6206DEBE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3C9BFC62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78F9F5E" w14:textId="6F2066BB" w:rsidR="00184B4D" w:rsidRDefault="00184B4D">
      <w:pPr>
        <w:widowControl/>
        <w:rPr>
          <w:sz w:val="20"/>
          <w:szCs w:val="20"/>
          <w:lang w:val="pt-BR"/>
        </w:rPr>
      </w:pPr>
    </w:p>
    <w:sectPr w:rsidR="00184B4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35C4" w14:textId="77777777" w:rsidR="002D4806" w:rsidRDefault="002D4806">
      <w:r>
        <w:separator/>
      </w:r>
    </w:p>
  </w:endnote>
  <w:endnote w:type="continuationSeparator" w:id="0">
    <w:p w14:paraId="6001DA47" w14:textId="77777777" w:rsidR="002D4806" w:rsidRDefault="002D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51B1" w14:textId="77777777" w:rsidR="002D4806" w:rsidRDefault="002D4806">
      <w:r>
        <w:separator/>
      </w:r>
    </w:p>
  </w:footnote>
  <w:footnote w:type="continuationSeparator" w:id="0">
    <w:p w14:paraId="735C8A72" w14:textId="77777777" w:rsidR="002D4806" w:rsidRDefault="002D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1A65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118D"/>
    <w:rsid w:val="00105EC1"/>
    <w:rsid w:val="001104D7"/>
    <w:rsid w:val="001318DD"/>
    <w:rsid w:val="001618BE"/>
    <w:rsid w:val="00166CBA"/>
    <w:rsid w:val="0017578F"/>
    <w:rsid w:val="00184B4D"/>
    <w:rsid w:val="001A3F23"/>
    <w:rsid w:val="001A4779"/>
    <w:rsid w:val="001C01D8"/>
    <w:rsid w:val="001D7E07"/>
    <w:rsid w:val="001E1C07"/>
    <w:rsid w:val="001F4D90"/>
    <w:rsid w:val="00207B52"/>
    <w:rsid w:val="00212507"/>
    <w:rsid w:val="00216FDA"/>
    <w:rsid w:val="00226361"/>
    <w:rsid w:val="002429D1"/>
    <w:rsid w:val="002A29FA"/>
    <w:rsid w:val="002A522F"/>
    <w:rsid w:val="002A57A5"/>
    <w:rsid w:val="002D4806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5814"/>
    <w:rsid w:val="005C19B3"/>
    <w:rsid w:val="005C4EF1"/>
    <w:rsid w:val="005C5290"/>
    <w:rsid w:val="005D3448"/>
    <w:rsid w:val="00613AF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B6F61"/>
    <w:rsid w:val="006D28CA"/>
    <w:rsid w:val="006E6D2D"/>
    <w:rsid w:val="006F51B0"/>
    <w:rsid w:val="00720A3D"/>
    <w:rsid w:val="00744ECE"/>
    <w:rsid w:val="00761C87"/>
    <w:rsid w:val="007958C6"/>
    <w:rsid w:val="007B5E5C"/>
    <w:rsid w:val="007C5270"/>
    <w:rsid w:val="007F1BD0"/>
    <w:rsid w:val="00845619"/>
    <w:rsid w:val="008724F5"/>
    <w:rsid w:val="00874624"/>
    <w:rsid w:val="00880ED6"/>
    <w:rsid w:val="008B36A9"/>
    <w:rsid w:val="008D38A8"/>
    <w:rsid w:val="008D6C47"/>
    <w:rsid w:val="00903208"/>
    <w:rsid w:val="00945A0B"/>
    <w:rsid w:val="0094671D"/>
    <w:rsid w:val="00966DA1"/>
    <w:rsid w:val="00982712"/>
    <w:rsid w:val="009A39AA"/>
    <w:rsid w:val="009B3A08"/>
    <w:rsid w:val="009C1FAC"/>
    <w:rsid w:val="009C2FC9"/>
    <w:rsid w:val="009D124E"/>
    <w:rsid w:val="00A07397"/>
    <w:rsid w:val="00A45896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C12B27"/>
    <w:rsid w:val="00C13373"/>
    <w:rsid w:val="00C13A87"/>
    <w:rsid w:val="00C22179"/>
    <w:rsid w:val="00C5259B"/>
    <w:rsid w:val="00C54CB5"/>
    <w:rsid w:val="00C6352D"/>
    <w:rsid w:val="00C636D3"/>
    <w:rsid w:val="00C6637A"/>
    <w:rsid w:val="00C73715"/>
    <w:rsid w:val="00C979E1"/>
    <w:rsid w:val="00CA7815"/>
    <w:rsid w:val="00CB5BCE"/>
    <w:rsid w:val="00CC54F9"/>
    <w:rsid w:val="00CF2C23"/>
    <w:rsid w:val="00D07860"/>
    <w:rsid w:val="00D15B06"/>
    <w:rsid w:val="00D54875"/>
    <w:rsid w:val="00D6184A"/>
    <w:rsid w:val="00D6212F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4747"/>
    <w:rsid w:val="00E552B6"/>
    <w:rsid w:val="00E57BE2"/>
    <w:rsid w:val="00E77647"/>
    <w:rsid w:val="00EC1861"/>
    <w:rsid w:val="00EC48BD"/>
    <w:rsid w:val="00ED28C8"/>
    <w:rsid w:val="00EE57BA"/>
    <w:rsid w:val="00F00BA5"/>
    <w:rsid w:val="00F015D9"/>
    <w:rsid w:val="00F03D50"/>
    <w:rsid w:val="00F11990"/>
    <w:rsid w:val="00F11E8A"/>
    <w:rsid w:val="00F17FA6"/>
    <w:rsid w:val="00F35473"/>
    <w:rsid w:val="00F96261"/>
    <w:rsid w:val="00FA7D4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2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E68-CC88-489D-A2EF-9EED908F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20</cp:revision>
  <cp:lastPrinted>2021-11-23T12:47:00Z</cp:lastPrinted>
  <dcterms:created xsi:type="dcterms:W3CDTF">2021-04-01T19:06:00Z</dcterms:created>
  <dcterms:modified xsi:type="dcterms:W3CDTF">2022-02-24T11:23:00Z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