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669F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2449CCC" w:rsidR="00113CE6" w:rsidRPr="00E61C23" w:rsidRDefault="000669F9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2041A0" w:rsidRPr="002041A0">
              <w:rPr>
                <w:rFonts w:asciiTheme="majorHAnsi" w:hAnsiTheme="majorHAnsi" w:cs="Times New Roman"/>
              </w:rPr>
              <w:t>1481906</w:t>
            </w:r>
            <w:r w:rsidR="002041A0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/202</w:t>
            </w:r>
            <w:r w:rsidR="00284A08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2041A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A7B0500" w:rsidR="00B8018D" w:rsidRPr="00E61C23" w:rsidRDefault="004A4A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Fiscalização do CAU/MG</w:t>
            </w:r>
          </w:p>
        </w:tc>
      </w:tr>
      <w:tr w:rsidR="00113CE6" w:rsidRPr="002041A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C41A02B" w:rsidR="00113CE6" w:rsidRPr="004949AB" w:rsidRDefault="00284A08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0C0737">
              <w:rPr>
                <w:rFonts w:asciiTheme="majorHAnsi" w:hAnsiTheme="majorHAnsi"/>
                <w:sz w:val="21"/>
                <w:szCs w:val="21"/>
              </w:rPr>
              <w:t>Fiscalização de docentes: análise dos documentos encaminhados pelos docentes da UFMG e do posicionamento da GERJUR</w:t>
            </w:r>
          </w:p>
        </w:tc>
      </w:tr>
      <w:tr w:rsidR="00113CE6" w:rsidRPr="002041A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041A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DBDDF4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284A08">
              <w:rPr>
                <w:rFonts w:asciiTheme="majorHAnsi" w:hAnsiTheme="majorHAnsi" w:cs="Times New Roman"/>
                <w:b/>
              </w:rPr>
              <w:t>7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4A4AB6">
              <w:rPr>
                <w:rFonts w:asciiTheme="majorHAnsi" w:hAnsiTheme="majorHAnsi" w:cs="Times New Roman"/>
                <w:b/>
              </w:rPr>
              <w:t>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284A08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284A08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409839E9" w:rsidR="00C14522" w:rsidRPr="00C41497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284A08">
        <w:rPr>
          <w:rFonts w:asciiTheme="majorHAnsi" w:hAnsiTheme="majorHAnsi" w:cs="Times New Roman"/>
          <w:lang w:val="pt-BR"/>
        </w:rPr>
        <w:t>21</w:t>
      </w:r>
      <w:r w:rsidR="00EB4570" w:rsidRPr="00C41497">
        <w:rPr>
          <w:rFonts w:asciiTheme="majorHAnsi" w:hAnsiTheme="majorHAnsi" w:cs="Times New Roman"/>
          <w:lang w:val="pt-BR"/>
        </w:rPr>
        <w:t xml:space="preserve"> de </w:t>
      </w:r>
      <w:r w:rsidR="00284A08">
        <w:rPr>
          <w:rFonts w:asciiTheme="majorHAnsi" w:hAnsiTheme="majorHAnsi" w:cs="Times New Roman"/>
          <w:lang w:val="pt-BR"/>
        </w:rPr>
        <w:t>fevereiro</w:t>
      </w:r>
      <w:r w:rsidR="00EB4570" w:rsidRPr="00C41497">
        <w:rPr>
          <w:rFonts w:asciiTheme="majorHAnsi" w:hAnsiTheme="majorHAnsi" w:cs="Times New Roman"/>
          <w:lang w:val="pt-BR"/>
        </w:rPr>
        <w:t xml:space="preserve"> </w:t>
      </w:r>
      <w:r w:rsidR="002B7732" w:rsidRPr="00C41497">
        <w:rPr>
          <w:rFonts w:asciiTheme="majorHAnsi" w:hAnsiTheme="majorHAnsi" w:cs="Times New Roman"/>
          <w:lang w:val="pt-BR"/>
        </w:rPr>
        <w:t>de</w:t>
      </w:r>
      <w:r w:rsidRPr="00C41497">
        <w:rPr>
          <w:rFonts w:asciiTheme="majorHAnsi" w:hAnsiTheme="majorHAnsi" w:cs="Times New Roman"/>
          <w:lang w:val="pt-BR"/>
        </w:rPr>
        <w:t xml:space="preserve"> 202</w:t>
      </w:r>
      <w:r w:rsidR="00284A08">
        <w:rPr>
          <w:rFonts w:asciiTheme="majorHAnsi" w:hAnsiTheme="majorHAnsi" w:cs="Times New Roman"/>
          <w:lang w:val="pt-BR"/>
        </w:rPr>
        <w:t>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</w:t>
      </w:r>
      <w:r w:rsidR="00C12D11" w:rsidRPr="00C41497">
        <w:rPr>
          <w:rFonts w:asciiTheme="majorHAnsi" w:hAnsiTheme="majorHAnsi" w:cs="Times New Roman"/>
          <w:lang w:val="pt-BR"/>
        </w:rPr>
        <w:t>o Interno do CAU/MG</w:t>
      </w:r>
      <w:r w:rsidRPr="00C41497">
        <w:rPr>
          <w:rFonts w:asciiTheme="majorHAnsi" w:hAnsiTheme="majorHAnsi" w:cs="Times New Roman"/>
          <w:lang w:val="pt-BR"/>
        </w:rPr>
        <w:t>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0A1A33E1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2C4F16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129FBA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53034FE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53B40101" w14:textId="77777777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67604605" w14:textId="758AD857" w:rsidR="00284A08" w:rsidRDefault="00284A08" w:rsidP="00284A08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Ofício n° 004/2016-SEC/EA, que encaminha Parecer n° 73</w:t>
      </w:r>
      <w:r w:rsidR="0062270B">
        <w:rPr>
          <w:rFonts w:asciiTheme="majorHAnsi" w:hAnsiTheme="majorHAnsi" w:cs="Times New Roman"/>
          <w:lang w:val="pt-BR"/>
        </w:rPr>
        <w:t xml:space="preserve">/2015/PF-UFMG/PGF/AGU-DIG, </w:t>
      </w:r>
      <w:r>
        <w:rPr>
          <w:rFonts w:asciiTheme="majorHAnsi" w:hAnsiTheme="majorHAnsi" w:cs="Times New Roman"/>
          <w:lang w:val="pt-BR"/>
        </w:rPr>
        <w:t>da Procuradoria</w:t>
      </w:r>
      <w:r w:rsidR="0062270B">
        <w:rPr>
          <w:rFonts w:asciiTheme="majorHAnsi" w:hAnsiTheme="majorHAnsi" w:cs="Times New Roman"/>
          <w:lang w:val="pt-BR"/>
        </w:rPr>
        <w:t xml:space="preserve"> Federal junto à</w:t>
      </w:r>
      <w:r>
        <w:rPr>
          <w:rFonts w:asciiTheme="majorHAnsi" w:hAnsiTheme="majorHAnsi" w:cs="Times New Roman"/>
          <w:lang w:val="pt-BR"/>
        </w:rPr>
        <w:t xml:space="preserve"> Universidade Federal de Minas Gerais – UFMG, que</w:t>
      </w:r>
      <w:r w:rsidR="0062270B">
        <w:rPr>
          <w:rFonts w:asciiTheme="majorHAnsi" w:hAnsiTheme="majorHAnsi" w:cs="Times New Roman"/>
          <w:lang w:val="pt-BR"/>
        </w:rPr>
        <w:t xml:space="preserve"> trata da constitucionalidade da exigência de registro profissional de docentes junto aos respectivos Conselhos de Fiscalização Profissional;</w:t>
      </w:r>
    </w:p>
    <w:p w14:paraId="6A9A7F8F" w14:textId="441C77D3" w:rsidR="0062270B" w:rsidRDefault="0062270B" w:rsidP="00284A08">
      <w:pPr>
        <w:jc w:val="both"/>
        <w:rPr>
          <w:rFonts w:asciiTheme="majorHAnsi" w:hAnsiTheme="majorHAnsi" w:cs="Times New Roman"/>
          <w:lang w:val="pt-BR"/>
        </w:rPr>
      </w:pPr>
    </w:p>
    <w:p w14:paraId="132DC28E" w14:textId="20F2969A" w:rsidR="0062270B" w:rsidRDefault="0062270B" w:rsidP="00284A08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 da Gerência Jurídica do CAU/MG, </w:t>
      </w:r>
      <w:r w:rsidRPr="00057435">
        <w:rPr>
          <w:rFonts w:asciiTheme="majorHAnsi" w:hAnsiTheme="majorHAnsi" w:cs="Times New Roman"/>
          <w:lang w:val="pt-BR"/>
        </w:rPr>
        <w:t xml:space="preserve">de </w:t>
      </w:r>
      <w:r w:rsidR="00057435" w:rsidRPr="00057435">
        <w:rPr>
          <w:rFonts w:asciiTheme="majorHAnsi" w:hAnsiTheme="majorHAnsi" w:cs="Times New Roman"/>
          <w:lang w:val="pt-BR"/>
        </w:rPr>
        <w:t>18</w:t>
      </w:r>
      <w:r w:rsidRPr="00057435">
        <w:rPr>
          <w:rFonts w:asciiTheme="majorHAnsi" w:hAnsiTheme="majorHAnsi" w:cs="Times New Roman"/>
          <w:lang w:val="pt-BR"/>
        </w:rPr>
        <w:t xml:space="preserve"> de </w:t>
      </w:r>
      <w:r w:rsidR="00057435" w:rsidRPr="00057435">
        <w:rPr>
          <w:rFonts w:asciiTheme="majorHAnsi" w:hAnsiTheme="majorHAnsi" w:cs="Times New Roman"/>
          <w:lang w:val="pt-BR"/>
        </w:rPr>
        <w:t>janeiro</w:t>
      </w:r>
      <w:r w:rsidRPr="00057435">
        <w:rPr>
          <w:rFonts w:asciiTheme="majorHAnsi" w:hAnsiTheme="majorHAnsi" w:cs="Times New Roman"/>
          <w:lang w:val="pt-BR"/>
        </w:rPr>
        <w:t xml:space="preserve"> de 2022,</w:t>
      </w:r>
      <w:r>
        <w:rPr>
          <w:rFonts w:asciiTheme="majorHAnsi" w:hAnsiTheme="majorHAnsi" w:cs="Times New Roman"/>
          <w:lang w:val="pt-BR"/>
        </w:rPr>
        <w:t xml:space="preserve"> que trata de análise do Parecer supracitado e orienta que:</w:t>
      </w:r>
    </w:p>
    <w:p w14:paraId="6973B108" w14:textId="77777777" w:rsidR="008D7144" w:rsidRDefault="008D7144" w:rsidP="00284A08">
      <w:pPr>
        <w:jc w:val="both"/>
        <w:rPr>
          <w:rFonts w:asciiTheme="majorHAnsi" w:hAnsiTheme="majorHAnsi" w:cs="Times New Roman"/>
          <w:lang w:val="pt-BR"/>
        </w:rPr>
      </w:pPr>
    </w:p>
    <w:p w14:paraId="7922B543" w14:textId="6B1B9F6D" w:rsidR="008D7144" w:rsidRPr="008D7144" w:rsidRDefault="008D7144" w:rsidP="008D7144">
      <w:pPr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“</w:t>
      </w:r>
      <w:r w:rsidRPr="008D7144">
        <w:rPr>
          <w:rFonts w:asciiTheme="majorHAnsi" w:hAnsiTheme="majorHAnsi" w:cs="Times New Roman"/>
          <w:i/>
          <w:iCs/>
          <w:lang w:val="pt-BR"/>
        </w:rPr>
        <w:t>entendo que os documentos enviados não devam interferir na</w:t>
      </w:r>
      <w:r>
        <w:rPr>
          <w:rFonts w:asciiTheme="majorHAnsi" w:hAnsiTheme="majorHAnsi" w:cs="Times New Roman"/>
          <w:i/>
          <w:iCs/>
          <w:lang w:val="pt-BR"/>
        </w:rPr>
        <w:t xml:space="preserve"> </w:t>
      </w:r>
      <w:r w:rsidRPr="008D7144">
        <w:rPr>
          <w:rFonts w:asciiTheme="majorHAnsi" w:hAnsiTheme="majorHAnsi" w:cs="Times New Roman"/>
          <w:i/>
          <w:iCs/>
          <w:lang w:val="pt-BR"/>
        </w:rPr>
        <w:t>rotina de fiscalização, porquanto não contenham nada de novo. Porém, devemos considerar que o tema poderá ser</w:t>
      </w:r>
      <w:r>
        <w:rPr>
          <w:rFonts w:asciiTheme="majorHAnsi" w:hAnsiTheme="majorHAnsi" w:cs="Times New Roman"/>
          <w:i/>
          <w:iCs/>
          <w:lang w:val="pt-BR"/>
        </w:rPr>
        <w:t xml:space="preserve"> </w:t>
      </w:r>
      <w:r w:rsidRPr="008D7144">
        <w:rPr>
          <w:rFonts w:asciiTheme="majorHAnsi" w:hAnsiTheme="majorHAnsi" w:cs="Times New Roman"/>
          <w:i/>
          <w:iCs/>
          <w:lang w:val="pt-BR"/>
        </w:rPr>
        <w:t>judicializado e a procedência dos nossos argumentos em juízo, apesar de relevantes, é ainda incerta.</w:t>
      </w:r>
      <w:r>
        <w:rPr>
          <w:rFonts w:asciiTheme="majorHAnsi" w:hAnsiTheme="majorHAnsi" w:cs="Times New Roman"/>
          <w:i/>
          <w:iCs/>
          <w:lang w:val="pt-BR"/>
        </w:rPr>
        <w:t>”</w:t>
      </w:r>
    </w:p>
    <w:p w14:paraId="202A5234" w14:textId="12A04958" w:rsidR="0062270B" w:rsidRDefault="0062270B" w:rsidP="00284A08">
      <w:pPr>
        <w:jc w:val="both"/>
        <w:rPr>
          <w:rFonts w:asciiTheme="majorHAnsi" w:hAnsiTheme="majorHAnsi" w:cs="Times New Roman"/>
          <w:lang w:val="pt-BR"/>
        </w:rPr>
      </w:pPr>
    </w:p>
    <w:p w14:paraId="19C56006" w14:textId="3B3E8781" w:rsidR="008D7144" w:rsidRPr="00057435" w:rsidRDefault="008D7144" w:rsidP="00057435">
      <w:pPr>
        <w:jc w:val="both"/>
        <w:rPr>
          <w:rFonts w:asciiTheme="majorHAnsi" w:hAnsiTheme="majorHAnsi" w:cs="Times New Roman"/>
          <w:lang w:val="pt-BR"/>
        </w:rPr>
      </w:pPr>
      <w:r w:rsidRPr="00057435">
        <w:rPr>
          <w:rFonts w:asciiTheme="majorHAnsi" w:hAnsiTheme="majorHAnsi" w:cs="Times New Roman"/>
          <w:lang w:val="pt-BR"/>
        </w:rPr>
        <w:t xml:space="preserve">Considerando Parecer Jurídico GJ-CAUMG Nº 09/2017, </w:t>
      </w:r>
      <w:r w:rsidR="00057435" w:rsidRPr="00057435">
        <w:rPr>
          <w:rFonts w:asciiTheme="majorHAnsi" w:hAnsiTheme="majorHAnsi" w:cs="Times New Roman"/>
          <w:lang w:val="pt-BR"/>
        </w:rPr>
        <w:t xml:space="preserve">que esclarece que </w:t>
      </w:r>
      <w:r w:rsidRPr="00057435">
        <w:rPr>
          <w:rFonts w:asciiTheme="majorHAnsi" w:hAnsiTheme="majorHAnsi" w:cs="Times New Roman"/>
          <w:lang w:val="pt-BR"/>
        </w:rPr>
        <w:t>a previsão da Lei nº 12.378/2010 estabelece que o ensino é atividade profissional do arquiteto e urbanista deve</w:t>
      </w:r>
      <w:r w:rsidR="00057435" w:rsidRPr="00057435">
        <w:rPr>
          <w:rFonts w:asciiTheme="majorHAnsi" w:hAnsiTheme="majorHAnsi" w:cs="Times New Roman"/>
          <w:lang w:val="pt-BR"/>
        </w:rPr>
        <w:t xml:space="preserve"> </w:t>
      </w:r>
      <w:r w:rsidRPr="00057435">
        <w:rPr>
          <w:rFonts w:asciiTheme="majorHAnsi" w:hAnsiTheme="majorHAnsi" w:cs="Times New Roman"/>
          <w:lang w:val="pt-BR"/>
        </w:rPr>
        <w:t>prevalecer sobre os atos normativos invocados constantemente pelos docentes, especialmente aqueles infralegais</w:t>
      </w:r>
    </w:p>
    <w:p w14:paraId="14DAB5E0" w14:textId="440186D8" w:rsidR="008D7144" w:rsidRDefault="008D7144" w:rsidP="008D7144">
      <w:pPr>
        <w:jc w:val="both"/>
        <w:rPr>
          <w:rFonts w:asciiTheme="majorHAnsi" w:hAnsiTheme="majorHAnsi" w:cs="Times New Roman"/>
          <w:lang w:val="pt-BR"/>
        </w:rPr>
      </w:pPr>
      <w:r w:rsidRPr="00057435">
        <w:rPr>
          <w:rFonts w:asciiTheme="majorHAnsi" w:hAnsiTheme="majorHAnsi" w:cs="Times New Roman"/>
          <w:lang w:val="pt-BR"/>
        </w:rPr>
        <w:t>(Decretos Presidenciais).</w:t>
      </w:r>
    </w:p>
    <w:p w14:paraId="3D085B60" w14:textId="77777777" w:rsidR="008D7144" w:rsidRDefault="008D7144" w:rsidP="00284A08">
      <w:pPr>
        <w:jc w:val="both"/>
        <w:rPr>
          <w:rFonts w:asciiTheme="majorHAnsi" w:hAnsiTheme="majorHAnsi" w:cs="Times New Roman"/>
          <w:lang w:val="pt-BR"/>
        </w:rPr>
      </w:pPr>
    </w:p>
    <w:p w14:paraId="58BA9625" w14:textId="25801091" w:rsidR="008C59E1" w:rsidRDefault="00895EC2" w:rsidP="00284A08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lastRenderedPageBreak/>
        <w:t xml:space="preserve">Considerando </w:t>
      </w:r>
      <w:r w:rsidR="0062270B">
        <w:rPr>
          <w:rFonts w:asciiTheme="majorHAnsi" w:hAnsiTheme="majorHAnsi" w:cs="Times New Roman"/>
          <w:lang w:val="pt-BR"/>
        </w:rPr>
        <w:t>que o</w:t>
      </w:r>
      <w:r w:rsidR="00284A08">
        <w:rPr>
          <w:rFonts w:asciiTheme="majorHAnsi" w:hAnsiTheme="majorHAnsi" w:cs="Times New Roman"/>
          <w:lang w:val="pt-BR"/>
        </w:rPr>
        <w:t xml:space="preserve"> Setor de Fiscalização do CAU/MG</w:t>
      </w:r>
      <w:r w:rsidR="0062270B">
        <w:rPr>
          <w:rFonts w:asciiTheme="majorHAnsi" w:hAnsiTheme="majorHAnsi" w:cs="Times New Roman"/>
          <w:lang w:val="pt-BR"/>
        </w:rPr>
        <w:t xml:space="preserve"> solicita apreciação e manifestação da Comissão de Exercício Profissional – CEP-CAU/MG, sobre a matéria, de forma a embasar e orientar a continuidade das ações de fiscalização de docentes no âmbito do CAU/MG;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F0AE4AF" w14:textId="119C1FD1" w:rsidR="00057435" w:rsidRPr="00057435" w:rsidRDefault="00057435" w:rsidP="0005743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057435">
        <w:rPr>
          <w:rFonts w:asciiTheme="majorHAnsi" w:hAnsiTheme="majorHAnsi" w:cs="Arial"/>
          <w:lang w:val="pt-BR"/>
        </w:rPr>
        <w:t>Esclarecer ao Setor de Fiscalização do CAU/MG que, a previsão da Lei nº 12.378/2010 estabelece que o ensino é atividade profissional do arquiteto e urbanista deve prevalecer sobre os atos normativos invocados constantemente pelos docentes, especialmente aqueles infralegais</w:t>
      </w:r>
      <w:r>
        <w:rPr>
          <w:rFonts w:asciiTheme="majorHAnsi" w:hAnsiTheme="majorHAnsi" w:cs="Arial"/>
          <w:lang w:val="pt-BR"/>
        </w:rPr>
        <w:t>;</w:t>
      </w:r>
    </w:p>
    <w:p w14:paraId="3E87538B" w14:textId="26CC0C3E" w:rsidR="00697197" w:rsidRDefault="00697197" w:rsidP="00697197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Orientar ao Setor de Fiscalização do CAU/MG que prossiga com as ações previamente determinadas, bem como dê os devidos encaminhamentos aos processos de fiscalização já instaurados em razão de ausência de</w:t>
      </w:r>
      <w:r w:rsidR="008C128C">
        <w:rPr>
          <w:rFonts w:asciiTheme="majorHAnsi" w:hAnsiTheme="majorHAnsi" w:cs="Arial"/>
          <w:lang w:val="pt-BR"/>
        </w:rPr>
        <w:t xml:space="preserve"> Registro Profissional e</w:t>
      </w:r>
      <w:r w:rsidR="008A2726">
        <w:rPr>
          <w:rFonts w:asciiTheme="majorHAnsi" w:hAnsiTheme="majorHAnsi" w:cs="Arial"/>
          <w:lang w:val="pt-BR"/>
        </w:rPr>
        <w:t>/ou</w:t>
      </w:r>
      <w:r w:rsidR="008C128C">
        <w:rPr>
          <w:rFonts w:asciiTheme="majorHAnsi" w:hAnsiTheme="majorHAnsi" w:cs="Arial"/>
          <w:lang w:val="pt-BR"/>
        </w:rPr>
        <w:t xml:space="preserve"> de</w:t>
      </w:r>
      <w:r>
        <w:rPr>
          <w:rFonts w:asciiTheme="majorHAnsi" w:hAnsiTheme="majorHAnsi" w:cs="Arial"/>
          <w:lang w:val="pt-BR"/>
        </w:rPr>
        <w:t xml:space="preserve"> Registro de Responsabilidade Técnica (RRT) referente à atuação profissional de docentes;</w:t>
      </w:r>
    </w:p>
    <w:p w14:paraId="7CFE6DA1" w14:textId="1F6D9218" w:rsidR="008A2726" w:rsidRPr="00C41497" w:rsidRDefault="008A2726" w:rsidP="00697197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Solicitar ao Setor de Fiscalização do CAU/MG a elaboração de uma minuta de texto educativo acerca da matéria, para aprovação por esta Comissão e posterior encaminhamento à Assessoria de Comunicação do CAU/MG, para publicação nos canais oficiais de Comunicação do CAU/MG, visando um público alvo geral;</w:t>
      </w:r>
    </w:p>
    <w:p w14:paraId="112B1D1E" w14:textId="55B55C68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 w:rsidR="007A2CC1"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 w:rsidR="007A2CC1"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4DB6D817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8A2726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8A2726">
        <w:rPr>
          <w:rFonts w:asciiTheme="majorHAnsi" w:hAnsiTheme="majorHAnsi" w:cs="Times New Roman"/>
          <w:lang w:val="pt-BR"/>
        </w:rPr>
        <w:t>fevereiro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8A2726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FEB73F4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8A272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A2CC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3.</w:t>
      </w:r>
      <w:r w:rsidR="008A272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8A272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B712C1" w14:paraId="1CE5237E" w14:textId="77777777" w:rsidTr="00DC40F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E115F0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13643E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96002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B712C1" w14:paraId="7ADC8585" w14:textId="77777777" w:rsidTr="00DC40F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881" w14:textId="77777777" w:rsidR="00B712C1" w:rsidRDefault="00B712C1" w:rsidP="00DC40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DD4B64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70A1FC97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640EB7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6953EA6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913AAC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84C68D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208E8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712C1" w14:paraId="2154DAD5" w14:textId="77777777" w:rsidTr="00DC40F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B25F7" w14:textId="77777777" w:rsidR="00B712C1" w:rsidRPr="00EC3313" w:rsidRDefault="00B712C1" w:rsidP="00DC40F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55EC6F3D" w14:textId="77777777" w:rsidR="00B712C1" w:rsidRPr="00EC3313" w:rsidRDefault="00B712C1" w:rsidP="00DC4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45066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D3FB6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D6C0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4EFA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AB4BF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712C1" w14:paraId="65EC6C92" w14:textId="77777777" w:rsidTr="00DC40F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BCFE1" w14:textId="77777777" w:rsidR="00B712C1" w:rsidRPr="00EC3313" w:rsidRDefault="00B712C1" w:rsidP="00DC40F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042D4EA" w14:textId="77777777" w:rsidR="00B712C1" w:rsidRPr="00EC3313" w:rsidRDefault="00B712C1" w:rsidP="00DC4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ED73E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4553D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6FEC6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9DD7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0584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712C1" w14:paraId="20147C9E" w14:textId="77777777" w:rsidTr="00DC40F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E1227" w14:textId="77777777" w:rsidR="00B712C1" w:rsidRPr="00EC3313" w:rsidRDefault="00B712C1" w:rsidP="00DC40F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8DB3856" w14:textId="77777777" w:rsidR="00B712C1" w:rsidRPr="00ED10F2" w:rsidRDefault="00B712C1" w:rsidP="00DC4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10BD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7DFCE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19DB3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BE140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D2C97" w14:textId="77777777" w:rsidR="00B712C1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712C1" w14:paraId="23E2EE4A" w14:textId="77777777" w:rsidTr="00DC40F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D721E" w14:textId="77777777" w:rsidR="00B712C1" w:rsidRPr="00EC3313" w:rsidRDefault="00B712C1" w:rsidP="00DC40F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20FD5FF" w14:textId="77777777" w:rsidR="00B712C1" w:rsidRPr="00EC3313" w:rsidRDefault="00B712C1" w:rsidP="00DC40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15D19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4A2A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3567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48BE7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814CD" w14:textId="77777777" w:rsidR="00B712C1" w:rsidRPr="00EC3313" w:rsidRDefault="00B712C1" w:rsidP="00DC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7031FF9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D5087E1" w14:textId="77777777" w:rsidR="00B712C1" w:rsidRDefault="00B712C1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607558EC" w14:textId="0F994BDD" w:rsidR="00303BF4" w:rsidRDefault="00B21808" w:rsidP="00057435">
      <w:pPr>
        <w:spacing w:line="300" w:lineRule="auto"/>
        <w:jc w:val="center"/>
        <w:rPr>
          <w:rFonts w:asciiTheme="majorHAnsi" w:hAnsiTheme="majorHAnsi" w:cs="Times New Roman"/>
          <w:u w:val="single"/>
          <w:lang w:val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</w:t>
      </w:r>
      <w:r w:rsidR="00057435">
        <w:rPr>
          <w:rFonts w:asciiTheme="majorHAnsi" w:hAnsiTheme="majorHAnsi" w:cs="Arial"/>
          <w:sz w:val="16"/>
          <w:szCs w:val="16"/>
          <w:lang w:val="pt-BR" w:eastAsia="pt-BR"/>
        </w:rPr>
        <w:t>G</w:t>
      </w:r>
    </w:p>
    <w:sectPr w:rsidR="00303B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0EBA" w14:textId="77777777" w:rsidR="007A0C53" w:rsidRDefault="007A0C53" w:rsidP="007E22C9">
      <w:r>
        <w:separator/>
      </w:r>
    </w:p>
  </w:endnote>
  <w:endnote w:type="continuationSeparator" w:id="0">
    <w:p w14:paraId="07BB6CE7" w14:textId="77777777" w:rsidR="007A0C53" w:rsidRDefault="007A0C5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AA9A" w14:textId="77777777" w:rsidR="007A0C53" w:rsidRDefault="007A0C53" w:rsidP="007E22C9">
      <w:r>
        <w:separator/>
      </w:r>
    </w:p>
  </w:footnote>
  <w:footnote w:type="continuationSeparator" w:id="0">
    <w:p w14:paraId="043517C2" w14:textId="77777777" w:rsidR="007A0C53" w:rsidRDefault="007A0C5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3E34BC1"/>
    <w:multiLevelType w:val="multilevel"/>
    <w:tmpl w:val="D826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6C01A66"/>
    <w:multiLevelType w:val="multilevel"/>
    <w:tmpl w:val="07F24D7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69921EA"/>
    <w:multiLevelType w:val="multilevel"/>
    <w:tmpl w:val="AD7CE3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811376"/>
    <w:multiLevelType w:val="multilevel"/>
    <w:tmpl w:val="91D631B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00454AA"/>
    <w:multiLevelType w:val="multilevel"/>
    <w:tmpl w:val="651A217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638F3FF4"/>
    <w:multiLevelType w:val="multilevel"/>
    <w:tmpl w:val="62EC61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49DB"/>
    <w:multiLevelType w:val="multilevel"/>
    <w:tmpl w:val="5964CEB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7"/>
  </w:num>
  <w:num w:numId="3">
    <w:abstractNumId w:val="9"/>
  </w:num>
  <w:num w:numId="4">
    <w:abstractNumId w:val="24"/>
  </w:num>
  <w:num w:numId="5">
    <w:abstractNumId w:val="14"/>
  </w:num>
  <w:num w:numId="6">
    <w:abstractNumId w:val="6"/>
  </w:num>
  <w:num w:numId="7">
    <w:abstractNumId w:val="46"/>
  </w:num>
  <w:num w:numId="8">
    <w:abstractNumId w:val="2"/>
  </w:num>
  <w:num w:numId="9">
    <w:abstractNumId w:val="5"/>
  </w:num>
  <w:num w:numId="10">
    <w:abstractNumId w:val="23"/>
  </w:num>
  <w:num w:numId="11">
    <w:abstractNumId w:val="42"/>
  </w:num>
  <w:num w:numId="12">
    <w:abstractNumId w:val="15"/>
  </w:num>
  <w:num w:numId="13">
    <w:abstractNumId w:val="26"/>
  </w:num>
  <w:num w:numId="14">
    <w:abstractNumId w:val="48"/>
  </w:num>
  <w:num w:numId="15">
    <w:abstractNumId w:val="18"/>
  </w:num>
  <w:num w:numId="16">
    <w:abstractNumId w:val="38"/>
  </w:num>
  <w:num w:numId="17">
    <w:abstractNumId w:val="13"/>
  </w:num>
  <w:num w:numId="18">
    <w:abstractNumId w:val="20"/>
  </w:num>
  <w:num w:numId="19">
    <w:abstractNumId w:val="30"/>
  </w:num>
  <w:num w:numId="20">
    <w:abstractNumId w:val="17"/>
  </w:num>
  <w:num w:numId="21">
    <w:abstractNumId w:val="32"/>
  </w:num>
  <w:num w:numId="22">
    <w:abstractNumId w:val="1"/>
  </w:num>
  <w:num w:numId="23">
    <w:abstractNumId w:val="10"/>
  </w:num>
  <w:num w:numId="24">
    <w:abstractNumId w:val="43"/>
  </w:num>
  <w:num w:numId="25">
    <w:abstractNumId w:val="4"/>
  </w:num>
  <w:num w:numId="26">
    <w:abstractNumId w:val="34"/>
  </w:num>
  <w:num w:numId="27">
    <w:abstractNumId w:val="36"/>
  </w:num>
  <w:num w:numId="28">
    <w:abstractNumId w:val="28"/>
  </w:num>
  <w:num w:numId="29">
    <w:abstractNumId w:val="21"/>
  </w:num>
  <w:num w:numId="30">
    <w:abstractNumId w:val="22"/>
  </w:num>
  <w:num w:numId="31">
    <w:abstractNumId w:val="19"/>
  </w:num>
  <w:num w:numId="32">
    <w:abstractNumId w:val="16"/>
  </w:num>
  <w:num w:numId="33">
    <w:abstractNumId w:val="27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5"/>
  </w:num>
  <w:num w:numId="39">
    <w:abstractNumId w:val="31"/>
  </w:num>
  <w:num w:numId="40">
    <w:abstractNumId w:val="0"/>
  </w:num>
  <w:num w:numId="41">
    <w:abstractNumId w:val="8"/>
  </w:num>
  <w:num w:numId="42">
    <w:abstractNumId w:val="39"/>
  </w:num>
  <w:num w:numId="43">
    <w:abstractNumId w:val="3"/>
  </w:num>
  <w:num w:numId="44">
    <w:abstractNumId w:val="12"/>
  </w:num>
  <w:num w:numId="45">
    <w:abstractNumId w:val="33"/>
  </w:num>
  <w:num w:numId="46">
    <w:abstractNumId w:val="29"/>
  </w:num>
  <w:num w:numId="47">
    <w:abstractNumId w:val="11"/>
  </w:num>
  <w:num w:numId="48">
    <w:abstractNumId w:val="3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57435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4F98"/>
    <w:rsid w:val="001F79A8"/>
    <w:rsid w:val="002041A0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4A08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46EFA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49AB"/>
    <w:rsid w:val="004A1AFA"/>
    <w:rsid w:val="004A1B48"/>
    <w:rsid w:val="004A4AB6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7FD4"/>
    <w:rsid w:val="00611DC2"/>
    <w:rsid w:val="006207B9"/>
    <w:rsid w:val="0062270B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197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331E"/>
    <w:rsid w:val="007A0C53"/>
    <w:rsid w:val="007A2CC1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A2726"/>
    <w:rsid w:val="008C128C"/>
    <w:rsid w:val="008C3F3D"/>
    <w:rsid w:val="008C59E1"/>
    <w:rsid w:val="008D4A78"/>
    <w:rsid w:val="008D7144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12C1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497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15ED8"/>
    <w:rsid w:val="00D20C72"/>
    <w:rsid w:val="00D34461"/>
    <w:rsid w:val="00D46E1A"/>
    <w:rsid w:val="00D613B4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148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535"/>
    <w:rsid w:val="00F158CE"/>
    <w:rsid w:val="00F215A1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26</cp:revision>
  <cp:lastPrinted>2022-02-22T12:34:00Z</cp:lastPrinted>
  <dcterms:created xsi:type="dcterms:W3CDTF">2021-11-29T20:12:00Z</dcterms:created>
  <dcterms:modified xsi:type="dcterms:W3CDTF">2022-02-22T12:35:00Z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