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187"/>
        <w:tblW w:w="10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4815"/>
        <w:gridCol w:w="11"/>
      </w:tblGrid>
      <w:tr w:rsidR="00810059" w:rsidRPr="001F4C2C" w14:paraId="1C2211E1" w14:textId="77777777" w:rsidTr="00E412DA">
        <w:trPr>
          <w:trHeight w:val="35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D9FA" w14:textId="4A556037" w:rsidR="00810059" w:rsidRPr="001F4C2C" w:rsidRDefault="00810059" w:rsidP="00BE75D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SÚMULA DA </w:t>
            </w:r>
            <w:r w:rsidR="00CA51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</w:t>
            </w:r>
            <w:r w:rsidR="00BE75D0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20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ª REUNIÃO (ORDINÁRIA) 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DA COMISSÃO 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 ORGANIZAÇÃO E ADMINISTRAÇÃO – COA-CAU/MG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4FEBB06E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4B835" w14:textId="1AC7732A" w:rsidR="00810059" w:rsidRPr="005C25FF" w:rsidRDefault="00810059" w:rsidP="005C25FF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LOCAL E DATA:</w:t>
            </w:r>
            <w:r w:rsidR="0066576C"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5509EF29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C4A5F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DATA: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341" w14:textId="03A02602" w:rsidR="00810059" w:rsidRPr="00A46C95" w:rsidRDefault="00BE75D0" w:rsidP="000B4E21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18</w:t>
            </w:r>
            <w:r w:rsidR="00B83B1F" w:rsidRPr="00A46C95">
              <w:rPr>
                <w:rFonts w:ascii="Calibri" w:eastAsia="Times New Roman" w:hAnsi="Calibri"/>
                <w:color w:val="000000"/>
                <w:lang w:eastAsia="pt-BR"/>
              </w:rPr>
              <w:t>/</w:t>
            </w:r>
            <w:r w:rsidR="00E337A0" w:rsidRPr="00A46C95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8</w:t>
            </w:r>
            <w:r w:rsidR="0054662D" w:rsidRPr="00A46C95">
              <w:rPr>
                <w:rFonts w:ascii="Calibri" w:eastAsia="Times New Roman" w:hAnsi="Calibri"/>
                <w:color w:val="000000"/>
                <w:lang w:eastAsia="pt-BR"/>
              </w:rPr>
              <w:t>/20</w:t>
            </w:r>
            <w:r w:rsidR="00866128" w:rsidRPr="00A46C95">
              <w:rPr>
                <w:rFonts w:ascii="Calibri" w:eastAsia="Times New Roman" w:hAnsi="Calibri"/>
                <w:color w:val="000000"/>
                <w:lang w:eastAsia="pt-BR"/>
              </w:rPr>
              <w:t>2</w:t>
            </w:r>
            <w:r w:rsidR="00E337A0" w:rsidRPr="00A46C95">
              <w:rPr>
                <w:rFonts w:ascii="Calibri" w:eastAsia="Times New Roman" w:hAnsi="Calibri"/>
                <w:color w:val="000000"/>
                <w:lang w:eastAsia="pt-BR"/>
              </w:rPr>
              <w:t>1</w:t>
            </w:r>
            <w:r w:rsidR="007B0879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5E3F1115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8DCF8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LOCAL: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792" w14:textId="08DD3CA3" w:rsidR="00810059" w:rsidRPr="00A46C95" w:rsidRDefault="00403343" w:rsidP="00A7708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Videoconferência</w:t>
            </w:r>
          </w:p>
        </w:tc>
      </w:tr>
      <w:tr w:rsidR="00810059" w:rsidRPr="00A46C95" w14:paraId="37DF6405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F32B0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HORÁRIO: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E89" w14:textId="490867C9" w:rsidR="00810059" w:rsidRPr="00A46C95" w:rsidRDefault="00E337A0" w:rsidP="00BC530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09</w:t>
            </w:r>
            <w:r w:rsidR="008120FF" w:rsidRPr="00A46C95">
              <w:rPr>
                <w:rFonts w:ascii="Calibri" w:eastAsia="Times New Roman" w:hAnsi="Calibri"/>
                <w:color w:val="000000"/>
                <w:lang w:eastAsia="pt-BR"/>
              </w:rPr>
              <w:t>h</w:t>
            </w:r>
            <w:r w:rsidR="00BE75D0">
              <w:rPr>
                <w:rFonts w:ascii="Calibri" w:eastAsia="Times New Roman" w:hAnsi="Calibri"/>
                <w:color w:val="000000"/>
                <w:lang w:eastAsia="pt-BR"/>
              </w:rPr>
              <w:t>3</w:t>
            </w:r>
            <w:r w:rsidR="00A97D32" w:rsidRPr="00A46C95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  <w:r w:rsidR="0066576C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– </w:t>
            </w:r>
            <w:r w:rsidR="00BC530A" w:rsidRPr="00BC530A">
              <w:rPr>
                <w:rFonts w:ascii="Calibri" w:eastAsia="Times New Roman" w:hAnsi="Calibri"/>
                <w:color w:val="000000"/>
                <w:lang w:eastAsia="pt-BR"/>
              </w:rPr>
              <w:t>12</w:t>
            </w:r>
            <w:r w:rsidR="00540934" w:rsidRPr="00BC530A">
              <w:rPr>
                <w:rFonts w:ascii="Calibri" w:eastAsia="Times New Roman" w:hAnsi="Calibri"/>
                <w:color w:val="000000"/>
                <w:lang w:eastAsia="pt-BR"/>
              </w:rPr>
              <w:t>h</w:t>
            </w:r>
            <w:r w:rsidR="000E7151" w:rsidRPr="00BC530A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  <w:r w:rsidR="005D2EAE" w:rsidRPr="00BC530A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</w:p>
        </w:tc>
      </w:tr>
      <w:tr w:rsidR="00810059" w:rsidRPr="00A46C95" w14:paraId="5831B84B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CDAC7" w14:textId="40CB55D7" w:rsidR="00810059" w:rsidRPr="005C25FF" w:rsidRDefault="00810059" w:rsidP="005C25FF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PARTICIPAÇÃO:</w:t>
            </w:r>
          </w:p>
        </w:tc>
      </w:tr>
      <w:tr w:rsidR="00810059" w:rsidRPr="00A46C95" w14:paraId="312CEBDE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7F156" w14:textId="08E79B77" w:rsidR="00810059" w:rsidRPr="00A46C95" w:rsidRDefault="00446D0D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E412DA">
              <w:rPr>
                <w:rFonts w:ascii="Calibri" w:eastAsia="Times New Roman" w:hAnsi="Calibri"/>
                <w:color w:val="000000"/>
                <w:lang w:eastAsia="pt-BR"/>
              </w:rPr>
              <w:t>COORDENAÇÃO</w:t>
            </w:r>
            <w:r w:rsidR="00810059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2CC9" w14:textId="6FEB82ED" w:rsidR="00810059" w:rsidRPr="00A46C95" w:rsidRDefault="00874A6D" w:rsidP="00EB7FC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Elaine Saraiva Calderari</w:t>
            </w:r>
            <w:r w:rsidR="00EB7FCD" w:rsidRPr="00A46C95">
              <w:rPr>
                <w:rFonts w:ascii="Calibri" w:eastAsia="Times New Roman" w:hAnsi="Calibri"/>
                <w:color w:val="000000"/>
                <w:lang w:eastAsia="pt-BR"/>
              </w:rPr>
              <w:t>,</w:t>
            </w:r>
            <w:r w:rsidR="00337B9B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CC509F" w:rsidRPr="00A46C95">
              <w:rPr>
                <w:rFonts w:ascii="Calibri" w:eastAsia="Times New Roman" w:hAnsi="Calibri"/>
                <w:color w:val="000000"/>
                <w:lang w:eastAsia="pt-BR"/>
              </w:rPr>
              <w:t>Coor</w:t>
            </w:r>
            <w:r w:rsidR="00546AEE" w:rsidRPr="00A46C95">
              <w:rPr>
                <w:rFonts w:ascii="Calibri" w:eastAsia="Times New Roman" w:hAnsi="Calibri"/>
                <w:color w:val="000000"/>
                <w:lang w:eastAsia="pt-BR"/>
              </w:rPr>
              <w:t>denador</w:t>
            </w:r>
            <w:r w:rsidR="00E337A0" w:rsidRPr="00A46C95">
              <w:rPr>
                <w:rFonts w:ascii="Calibri" w:eastAsia="Times New Roman" w:hAnsi="Calibri"/>
                <w:color w:val="000000"/>
                <w:lang w:eastAsia="pt-BR"/>
              </w:rPr>
              <w:t>a</w:t>
            </w:r>
            <w:r w:rsidR="00834E5F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CC509F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da COA-CAU/MG                                                 </w:t>
            </w:r>
          </w:p>
        </w:tc>
      </w:tr>
      <w:tr w:rsidR="00810059" w:rsidRPr="00A46C95" w14:paraId="00E84B92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17D1D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TIPO DE REUNIÃO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6BA" w14:textId="49ED25D5" w:rsidR="00810059" w:rsidRPr="00A46C95" w:rsidRDefault="00BE75D0" w:rsidP="001B5374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O</w:t>
            </w:r>
            <w:r w:rsidR="001B30D9" w:rsidRPr="00A46C95">
              <w:rPr>
                <w:rFonts w:ascii="Calibri" w:eastAsia="Times New Roman" w:hAnsi="Calibri"/>
                <w:color w:val="000000"/>
                <w:lang w:eastAsia="pt-BR"/>
              </w:rPr>
              <w:t>r</w:t>
            </w:r>
            <w:r w:rsidR="00EB2AD7" w:rsidRPr="00A46C95">
              <w:rPr>
                <w:rFonts w:ascii="Calibri" w:eastAsia="Times New Roman" w:hAnsi="Calibri"/>
                <w:color w:val="000000"/>
                <w:lang w:eastAsia="pt-BR"/>
              </w:rPr>
              <w:t>dinária</w:t>
            </w:r>
          </w:p>
        </w:tc>
      </w:tr>
      <w:tr w:rsidR="00810059" w:rsidRPr="00A46C95" w14:paraId="54BBAAA8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7C607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ASSESSORIA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7E8" w14:textId="33AAB68E" w:rsidR="00810059" w:rsidRPr="00A46C95" w:rsidRDefault="00E337A0" w:rsidP="0007522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Rita Gomes Lopes</w:t>
            </w:r>
            <w:r w:rsidR="00240205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, </w:t>
            </w: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Gerente de Planejamento e Gestão Estratégica</w:t>
            </w:r>
            <w:r w:rsidR="00240205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do</w:t>
            </w:r>
            <w:r w:rsidR="008321A5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CAU/MG</w:t>
            </w:r>
          </w:p>
        </w:tc>
      </w:tr>
      <w:tr w:rsidR="00AA3E3A" w:rsidRPr="00A46C95" w14:paraId="712F8BCA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8EE4E5" w14:textId="1D4967B7" w:rsidR="00AA3E3A" w:rsidRPr="00A46C95" w:rsidRDefault="00AA3E3A" w:rsidP="007D5835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PARTICIPANTES CONVOCADOS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FF452" w14:textId="77777777" w:rsidR="00AA3E3A" w:rsidRPr="00A46C95" w:rsidRDefault="00AA3E3A" w:rsidP="00810059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9A13" w14:textId="77777777" w:rsidR="00AA3E3A" w:rsidRPr="00A46C95" w:rsidRDefault="00AA3E3A" w:rsidP="00810059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Cargo/função</w:t>
            </w:r>
          </w:p>
        </w:tc>
      </w:tr>
      <w:tr w:rsidR="007B0879" w:rsidRPr="00A46C95" w14:paraId="495083D4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12A9C3" w14:textId="77777777" w:rsidR="007B0879" w:rsidRPr="00A46C95" w:rsidRDefault="007B0879" w:rsidP="007B0879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76E8A" w14:textId="1B4F70FC" w:rsidR="007B0879" w:rsidRPr="00A46C95" w:rsidRDefault="00874A6D" w:rsidP="007B087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Elaine Saraiva Calderari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6FAA" w14:textId="20ABC7E6" w:rsidR="007B0879" w:rsidRPr="00A46C95" w:rsidRDefault="00874A6D" w:rsidP="007B087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Coordenadora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da COA-CAU/MG                                                 </w:t>
            </w:r>
          </w:p>
        </w:tc>
      </w:tr>
      <w:tr w:rsidR="00874A6D" w:rsidRPr="00A46C95" w14:paraId="5421D01D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BEEBDF" w14:textId="77777777" w:rsidR="00874A6D" w:rsidRPr="00A46C95" w:rsidRDefault="00874A6D" w:rsidP="00874A6D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B9DA1" w14:textId="7E13AC34" w:rsidR="00874A6D" w:rsidRPr="00A46C95" w:rsidRDefault="00874A6D" w:rsidP="00874A6D">
            <w:pPr>
              <w:rPr>
                <w:rFonts w:ascii="Calibri" w:eastAsia="Times New Roman" w:hAnsi="Calibri"/>
                <w:color w:val="000000"/>
                <w:highlight w:val="yellow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Maria Carolina Mesquita de Paula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B1E99" w14:textId="53C24CDD" w:rsidR="00874A6D" w:rsidRPr="00A46C95" w:rsidRDefault="00874A6D" w:rsidP="00874A6D">
            <w:pPr>
              <w:rPr>
                <w:rFonts w:ascii="Calibri" w:eastAsia="Times New Roman" w:hAnsi="Calibri"/>
                <w:color w:val="000000"/>
                <w:highlight w:val="yellow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Coordenadora adjunta COA-CAU/MG</w:t>
            </w:r>
          </w:p>
        </w:tc>
      </w:tr>
      <w:tr w:rsidR="00874A6D" w:rsidRPr="00A46C95" w14:paraId="1987AA6C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AF198D" w14:textId="77777777" w:rsidR="00874A6D" w:rsidRPr="00A46C95" w:rsidRDefault="00874A6D" w:rsidP="00874A6D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EE7F" w14:textId="67A1DE2D" w:rsidR="00874A6D" w:rsidRPr="00A46C95" w:rsidRDefault="00874A6D" w:rsidP="00874A6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Carlos Eduardo Rodrigues Duarte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1416D" w14:textId="47D55770" w:rsidR="00874A6D" w:rsidRPr="00A46C95" w:rsidRDefault="00874A6D" w:rsidP="00874A6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Membro 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Titular</w:t>
            </w: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COA-CAU/MG</w:t>
            </w:r>
          </w:p>
        </w:tc>
      </w:tr>
      <w:tr w:rsidR="00874A6D" w:rsidRPr="00A46C95" w14:paraId="624D8564" w14:textId="77777777" w:rsidTr="00F01E88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DE4943" w14:textId="77777777" w:rsidR="00874A6D" w:rsidRPr="00A46C95" w:rsidRDefault="00874A6D" w:rsidP="00874A6D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D62BC" w14:textId="75D06EAC" w:rsidR="00874A6D" w:rsidRPr="00A46C95" w:rsidRDefault="00BE75D0" w:rsidP="00874A6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Sergio Myssior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1A681" w14:textId="538C9C31" w:rsidR="00874A6D" w:rsidRPr="00A46C95" w:rsidRDefault="00874A6D" w:rsidP="00BE75D0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Membro </w:t>
            </w:r>
            <w:r w:rsidR="00BE75D0">
              <w:rPr>
                <w:rFonts w:ascii="Calibri" w:eastAsia="Times New Roman" w:hAnsi="Calibri"/>
                <w:color w:val="000000"/>
                <w:lang w:eastAsia="pt-BR"/>
              </w:rPr>
              <w:t>Titular</w:t>
            </w: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COA-CAU/MG</w:t>
            </w:r>
          </w:p>
        </w:tc>
      </w:tr>
      <w:tr w:rsidR="00874A6D" w:rsidRPr="00A46C95" w14:paraId="04A6227E" w14:textId="77777777" w:rsidTr="00B13A6F">
        <w:trPr>
          <w:gridAfter w:val="1"/>
          <w:wAfter w:w="11" w:type="dxa"/>
          <w:trHeight w:val="2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F0BE5D" w14:textId="72AA4DF6" w:rsidR="00874A6D" w:rsidRPr="00A46C95" w:rsidRDefault="00874A6D" w:rsidP="00874A6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CONVIDADOS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C2A9" w14:textId="1DE15962" w:rsidR="00874A6D" w:rsidRPr="00A46C95" w:rsidRDefault="00874A6D" w:rsidP="00874A6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B52B" w14:textId="47E1009D" w:rsidR="00874A6D" w:rsidRPr="00A46C95" w:rsidRDefault="00874A6D" w:rsidP="00874A6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874A6D" w:rsidRPr="00A46C95" w14:paraId="390B1EE5" w14:textId="77777777" w:rsidTr="003834FB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8C1DD" w14:textId="77777777" w:rsidR="00874A6D" w:rsidRPr="00A46C95" w:rsidRDefault="00874A6D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21ECB" w14:textId="43ED9FAF" w:rsidR="00874A6D" w:rsidRDefault="00874A6D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0D9D" w14:textId="692ECFFA" w:rsidR="00874A6D" w:rsidRPr="00A46C95" w:rsidRDefault="00874A6D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AA3E3A" w:rsidRPr="00A46C95" w14:paraId="3648DB0B" w14:textId="77777777" w:rsidTr="003834FB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42735" w14:textId="77777777" w:rsidR="00AA3E3A" w:rsidRPr="00A46C95" w:rsidRDefault="00AA3E3A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0DC9D" w14:textId="287A64AD" w:rsidR="00AA3E3A" w:rsidRPr="00A46C95" w:rsidRDefault="00AA3E3A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C745C" w14:textId="0E13CBB4" w:rsidR="00AA3E3A" w:rsidRPr="00A46C95" w:rsidRDefault="00AA3E3A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AA3E3A" w:rsidRPr="00A46C95" w14:paraId="39A19EBF" w14:textId="77777777" w:rsidTr="00F01E88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B5AE8CC" w14:textId="6B1289FC" w:rsidR="00AA3E3A" w:rsidRPr="005C25FF" w:rsidRDefault="00AA3E3A" w:rsidP="00AA3E3A">
            <w:pPr>
              <w:pStyle w:val="PargrafodaLista"/>
              <w:numPr>
                <w:ilvl w:val="0"/>
                <w:numId w:val="14"/>
              </w:numP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</w:pPr>
            <w:r w:rsidRPr="005C25FF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PAUTA DA REUNIÃO</w:t>
            </w:r>
          </w:p>
        </w:tc>
      </w:tr>
      <w:tr w:rsidR="00AA3E3A" w:rsidRPr="00A46C95" w14:paraId="5AD7EDF6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66D1" w14:textId="4D611E5B" w:rsidR="00AA3E3A" w:rsidRPr="00BE3DF0" w:rsidRDefault="00AA3E3A" w:rsidP="00AA3E3A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E3DF0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VERIFICAÇÃO DO QUÓRUM:</w:t>
            </w:r>
            <w:r w:rsidRPr="00BE3DF0">
              <w:rPr>
                <w:rFonts w:ascii="Calibri" w:eastAsia="Times New Roman" w:hAnsi="Calibri"/>
                <w:color w:val="000000"/>
                <w:lang w:eastAsia="pt-BR"/>
              </w:rPr>
              <w:t xml:space="preserve">  </w:t>
            </w:r>
          </w:p>
          <w:p w14:paraId="7AF0903B" w14:textId="77777777" w:rsidR="00AA3E3A" w:rsidRDefault="00AA3E3A" w:rsidP="00096E50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E3DF0">
              <w:rPr>
                <w:rFonts w:ascii="Calibri" w:eastAsia="Times New Roman" w:hAnsi="Calibri"/>
                <w:color w:val="000000"/>
                <w:lang w:eastAsia="pt-BR"/>
              </w:rPr>
              <w:t>Registra-se a presença de todos os membros convocados para esta reunião de comissão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, que confirmaram presença.</w:t>
            </w:r>
          </w:p>
          <w:p w14:paraId="111B2E9D" w14:textId="290D3680" w:rsidR="00096E50" w:rsidRPr="00BE3DF0" w:rsidRDefault="00096E50" w:rsidP="00096E50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AA3E3A" w:rsidRPr="00A46C95" w14:paraId="4CA0F7AB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505C" w14:textId="04FD21FA" w:rsidR="00AA3E3A" w:rsidRDefault="00AA3E3A" w:rsidP="00AA3E3A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E62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DISCUSSÃO E APROVAÇÃO DE SÚMULA:</w:t>
            </w:r>
          </w:p>
          <w:p w14:paraId="425A5C83" w14:textId="58E29A92" w:rsidR="00AA3E3A" w:rsidRDefault="00A45C14" w:rsidP="00096E50">
            <w:pPr>
              <w:pStyle w:val="Pr-formataoHTML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</w:t>
            </w:r>
            <w:r w:rsidR="00AA3E3A" w:rsidRPr="005C25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Súmula da </w:t>
            </w:r>
            <w:r w:rsidR="00AA3E3A" w:rsidRPr="00BC53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Pr="00BC53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  <w:r w:rsidR="00AA3E3A" w:rsidRPr="00BC53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ª</w:t>
            </w:r>
            <w:r w:rsidR="00AA3E3A" w:rsidRPr="005C25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874A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  <w:r w:rsidR="00AA3E3A" w:rsidRPr="005C25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eunião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foi</w:t>
            </w:r>
            <w:r w:rsidR="00AA3E3A" w:rsidRPr="005C25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apreciada </w:t>
            </w:r>
            <w:r w:rsidR="006122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 aprovada pelos membros da COA-CAU/MG</w:t>
            </w:r>
            <w:r w:rsidR="00AA3E3A" w:rsidRPr="005C25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  <w:p w14:paraId="70D8EA49" w14:textId="79DA2F6D" w:rsidR="00096E50" w:rsidRPr="00A46C95" w:rsidRDefault="00096E50" w:rsidP="00096E50">
            <w:pPr>
              <w:pStyle w:val="Pr-formataoHTML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AA3E3A" w:rsidRPr="00A46C95" w14:paraId="32D5B111" w14:textId="77777777" w:rsidTr="002F5348">
        <w:trPr>
          <w:trHeight w:val="1509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4D7E9" w14:textId="7A3EB08B" w:rsidR="006E2F2F" w:rsidRDefault="00AA3E3A" w:rsidP="00B95EB3">
            <w:pPr>
              <w:pStyle w:val="Pr-formataoHTML"/>
              <w:jc w:val="both"/>
              <w:rPr>
                <w:rFonts w:ascii="Calibri" w:eastAsia="Times New Roman" w:hAnsi="Calibri"/>
                <w:color w:val="000000"/>
              </w:rPr>
            </w:pPr>
            <w:r w:rsidRPr="000209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COMUNICADOS:</w:t>
            </w:r>
          </w:p>
          <w:p w14:paraId="1ACF5475" w14:textId="29D45391" w:rsidR="00BE75D0" w:rsidRDefault="00DB386A" w:rsidP="00096E50">
            <w:pPr>
              <w:widowControl w:val="0"/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AF5C0D">
              <w:rPr>
                <w:rFonts w:ascii="Calibri" w:eastAsia="Times New Roman" w:hAnsi="Calibri"/>
                <w:color w:val="000000"/>
                <w:lang w:eastAsia="pt-BR"/>
              </w:rPr>
              <w:t xml:space="preserve">- </w:t>
            </w:r>
            <w:r w:rsidR="00BE75D0">
              <w:rPr>
                <w:rFonts w:ascii="Calibri" w:eastAsia="Times New Roman" w:hAnsi="Calibri"/>
                <w:color w:val="000000"/>
                <w:lang w:eastAsia="pt-BR"/>
              </w:rPr>
              <w:t>A C</w:t>
            </w:r>
            <w:r w:rsidR="00272A2A">
              <w:rPr>
                <w:rFonts w:ascii="Calibri" w:eastAsia="Times New Roman" w:hAnsi="Calibri"/>
                <w:color w:val="000000"/>
                <w:lang w:eastAsia="pt-BR"/>
              </w:rPr>
              <w:t xml:space="preserve">oordenadora Elaine Saraiva fez um breve relato </w:t>
            </w:r>
            <w:r w:rsidR="00BE75D0">
              <w:rPr>
                <w:rFonts w:ascii="Calibri" w:eastAsia="Times New Roman" w:hAnsi="Calibri"/>
                <w:color w:val="000000"/>
                <w:lang w:eastAsia="pt-BR"/>
              </w:rPr>
              <w:t>da decisão sobre a prorrogação de prazo para submissão de propostas do Edital de chamada Pública de Patrocínio na modalidade de Athis;</w:t>
            </w:r>
          </w:p>
          <w:p w14:paraId="40CF2526" w14:textId="4DE05E32" w:rsidR="00BE75D0" w:rsidRDefault="00BE75D0" w:rsidP="00096E50">
            <w:pPr>
              <w:widowControl w:val="0"/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- Também, solicitou resposta da Presidente do CAU/MG a respeito do rodízio das Assessorias das Comissões;</w:t>
            </w:r>
          </w:p>
          <w:p w14:paraId="20C9F5A7" w14:textId="4968C443" w:rsidR="00BE75D0" w:rsidRDefault="00BE75D0" w:rsidP="00096E50">
            <w:pPr>
              <w:widowControl w:val="0"/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- A Assessoria da COA-CAU/MG Rita Lopes informou que o Edital de Boas práticas está na GAF para publicação em breve, ainda sem data estimada;</w:t>
            </w:r>
          </w:p>
          <w:p w14:paraId="20B09DED" w14:textId="59C8F197" w:rsidR="00BE75D0" w:rsidRDefault="00BE75D0" w:rsidP="00096E50">
            <w:pPr>
              <w:widowControl w:val="0"/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- Sobre a solicitação da COA de apresentação e análise crítica de como as comissões têm trabalhado em seus fluxos;</w:t>
            </w:r>
          </w:p>
          <w:p w14:paraId="622FC111" w14:textId="15E46B67" w:rsidR="00BE75D0" w:rsidRDefault="00BE75D0" w:rsidP="00096E50">
            <w:pPr>
              <w:widowControl w:val="0"/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- O Cons. Sergio Myssior propôs manifestação da COA no sentido de reforçar o papel da comunicação na divulgação dos Editais, no sentido de que se construa um plano de divulgação dos Editais que amplie a possibilidade de conhecimento e participações de proponentes nos editais;</w:t>
            </w:r>
          </w:p>
          <w:p w14:paraId="2114B24B" w14:textId="77777777" w:rsidR="00A45C14" w:rsidRDefault="00BE75D0" w:rsidP="000775A9">
            <w:pPr>
              <w:widowControl w:val="0"/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-  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A </w:t>
            </w:r>
            <w:r w:rsidR="00A45C14">
              <w:rPr>
                <w:rFonts w:ascii="Calibri" w:eastAsia="Times New Roman" w:hAnsi="Calibri"/>
                <w:color w:val="000000"/>
                <w:lang w:eastAsia="pt-BR"/>
              </w:rPr>
              <w:t>Coordenadora Elaine Saraiva</w:t>
            </w:r>
            <w:r w:rsidR="00A45C14">
              <w:rPr>
                <w:rFonts w:ascii="Calibri" w:eastAsia="Times New Roman" w:hAnsi="Calibri"/>
                <w:color w:val="000000"/>
                <w:lang w:eastAsia="pt-BR"/>
              </w:rPr>
              <w:t xml:space="preserve"> e 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Assessoria da COA-CAU/MG Rita Lopes </w:t>
            </w:r>
            <w:r w:rsidR="00A45C14">
              <w:rPr>
                <w:rFonts w:ascii="Calibri" w:eastAsia="Times New Roman" w:hAnsi="Calibri"/>
                <w:color w:val="000000"/>
                <w:lang w:eastAsia="pt-BR"/>
              </w:rPr>
              <w:t>comunicaram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 que foi recém contratada empresa que cumprirá papel estrat</w:t>
            </w:r>
            <w:r w:rsidR="00A45C14">
              <w:rPr>
                <w:rFonts w:ascii="Calibri" w:eastAsia="Times New Roman" w:hAnsi="Calibri"/>
                <w:color w:val="000000"/>
                <w:lang w:eastAsia="pt-BR"/>
              </w:rPr>
              <w:t>égico na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 comunicação do CAU/MG</w:t>
            </w:r>
            <w:r w:rsidR="00A45C14">
              <w:rPr>
                <w:rFonts w:ascii="Calibri" w:eastAsia="Times New Roman" w:hAnsi="Calibri"/>
                <w:color w:val="000000"/>
                <w:lang w:eastAsia="pt-BR"/>
              </w:rPr>
              <w:t xml:space="preserve"> junto à Assessoria de Comunicação, tendo sido apresentado um plano de comunicação para todas as comunicações do CAU/MG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;</w:t>
            </w:r>
          </w:p>
          <w:p w14:paraId="6DC25543" w14:textId="77777777" w:rsidR="002F5348" w:rsidRDefault="00A45C14" w:rsidP="00A45C14">
            <w:pPr>
              <w:widowControl w:val="0"/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- O Cons. Carlos Eduardo sugeriu que incluísse como item de pauta que se observasse sobre a decisão do Plenário de adoção do a partir de setembro das reuniões dos órgãos colegiados em formato híbrido, no sentido de desenhar estratégias sobre aspecto com recomendações para a Presidência do CAU/MG;</w:t>
            </w:r>
          </w:p>
          <w:p w14:paraId="3893F585" w14:textId="77777777" w:rsidR="00CD79CD" w:rsidRDefault="00A45C14" w:rsidP="00A45C14">
            <w:pPr>
              <w:widowControl w:val="0"/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- Em complemento, o Cons.  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Sergio Myssior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 citou que tal abordagem está prevista nas competências regimentais, reconhecendo que as rotinas remotas da COA tem funcionando bem, mas atentando para eventuais priorizações do presencial, premissas de segurança,</w:t>
            </w:r>
            <w:r w:rsidR="00CD79CD">
              <w:rPr>
                <w:rFonts w:ascii="Calibri" w:eastAsia="Times New Roman" w:hAnsi="Calibri"/>
                <w:color w:val="000000"/>
                <w:lang w:eastAsia="pt-BR"/>
              </w:rPr>
              <w:t xml:space="preserve"> e outras providências;</w:t>
            </w:r>
          </w:p>
          <w:p w14:paraId="4E42F85C" w14:textId="77777777" w:rsidR="00A45C14" w:rsidRDefault="00CD79CD" w:rsidP="00A45C14">
            <w:pPr>
              <w:widowControl w:val="0"/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- A Cons. Maria Carolina percebe que a experiência concreta que vai ditar os desafios, limites, vantagens e desvantagens das reuniões híbridas;</w:t>
            </w:r>
          </w:p>
          <w:p w14:paraId="37A1E6B2" w14:textId="77777777" w:rsidR="00CD79CD" w:rsidRDefault="00CD79CD" w:rsidP="00A45C14">
            <w:pPr>
              <w:widowControl w:val="0"/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- A Assessora Rita Lopes sinalizou que a matéria foi recém deliberada e que ainda requer encaminhamento para que seja pautada no âmbito da COA, com acordo da Coordenadora </w:t>
            </w:r>
            <w:r>
              <w:t>Elaine</w:t>
            </w:r>
            <w:r w:rsidRPr="00CD79CD">
              <w:rPr>
                <w:rFonts w:ascii="Calibri" w:eastAsia="Times New Roman" w:hAnsi="Calibri"/>
                <w:color w:val="000000"/>
                <w:lang w:eastAsia="pt-BR"/>
              </w:rPr>
              <w:t xml:space="preserve"> Saraiva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;</w:t>
            </w:r>
          </w:p>
          <w:p w14:paraId="56D7E0BE" w14:textId="4703AE76" w:rsidR="005125D4" w:rsidRPr="000775A9" w:rsidRDefault="005125D4" w:rsidP="005125D4">
            <w:pPr>
              <w:widowControl w:val="0"/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- </w:t>
            </w:r>
            <w:r>
              <w:t xml:space="preserve">  </w:t>
            </w:r>
            <w:r w:rsidRPr="005125D4">
              <w:t xml:space="preserve">A Coordenadora Elaine Saraiva </w:t>
            </w:r>
            <w:r>
              <w:t>reiterou com</w:t>
            </w:r>
            <w:r w:rsidRPr="005125D4">
              <w:rPr>
                <w:rFonts w:ascii="Calibri" w:eastAsia="Times New Roman" w:hAnsi="Calibri"/>
                <w:color w:val="000000"/>
                <w:lang w:eastAsia="pt-BR"/>
              </w:rPr>
              <w:t xml:space="preserve"> à Presidência da necessidade de apoio na construção dos Fóruns Regionais.</w:t>
            </w:r>
          </w:p>
        </w:tc>
      </w:tr>
      <w:tr w:rsidR="00AA3E3A" w:rsidRPr="00A46C95" w14:paraId="5316461F" w14:textId="77777777" w:rsidTr="00695CAE">
        <w:trPr>
          <w:trHeight w:val="1266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F05F" w14:textId="68E3331D" w:rsidR="00AA3E3A" w:rsidRPr="003A35F9" w:rsidRDefault="00AA3E3A" w:rsidP="00096E50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A35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ORDEM DO DIA:</w:t>
            </w:r>
          </w:p>
          <w:p w14:paraId="6675259F" w14:textId="7B84A52B" w:rsidR="003A35F9" w:rsidRPr="003A35F9" w:rsidRDefault="003A35F9" w:rsidP="003A35F9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A35F9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1.</w:t>
            </w:r>
            <w:r w:rsidRPr="003A35F9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034105">
              <w:t xml:space="preserve"> </w:t>
            </w:r>
            <w:r w:rsidR="00034105" w:rsidRPr="00034105">
              <w:rPr>
                <w:rFonts w:ascii="Calibri" w:eastAsia="Times New Roman" w:hAnsi="Calibri"/>
                <w:color w:val="000000"/>
                <w:lang w:eastAsia="pt-BR"/>
              </w:rPr>
              <w:t>Apreciação e aprovação da súmula da 219ª reunião da COA</w:t>
            </w:r>
            <w:r w:rsidR="00034105">
              <w:rPr>
                <w:rFonts w:ascii="Calibri" w:eastAsia="Times New Roman" w:hAnsi="Calibri"/>
                <w:color w:val="000000"/>
                <w:lang w:eastAsia="pt-BR"/>
              </w:rPr>
              <w:t>;</w:t>
            </w:r>
          </w:p>
          <w:p w14:paraId="37313FDF" w14:textId="3D8FAD6D" w:rsidR="003A35F9" w:rsidRDefault="003A35F9" w:rsidP="003A35F9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A35F9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2.</w:t>
            </w:r>
            <w:r w:rsidRPr="003A35F9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034105" w:rsidRPr="00034105">
              <w:rPr>
                <w:rFonts w:ascii="Calibri" w:eastAsia="Times New Roman" w:hAnsi="Calibri"/>
                <w:color w:val="000000"/>
                <w:lang w:eastAsia="pt-BR"/>
              </w:rPr>
              <w:t xml:space="preserve">Deliberações Nº 024/2021 e Nº 025/2021 – COA-CAU/BR, que tratam, respectivamente, sobre a alteração da Resolução CAU/BR N° 104, de 26 de junho de 2015, e sobre o </w:t>
            </w:r>
            <w:proofErr w:type="spellStart"/>
            <w:r w:rsidR="00034105" w:rsidRPr="00034105">
              <w:rPr>
                <w:rFonts w:ascii="Calibri" w:eastAsia="Times New Roman" w:hAnsi="Calibri"/>
                <w:color w:val="000000"/>
                <w:lang w:eastAsia="pt-BR"/>
              </w:rPr>
              <w:t>reencaminhamento</w:t>
            </w:r>
            <w:proofErr w:type="spellEnd"/>
            <w:r w:rsidR="00034105" w:rsidRPr="00034105">
              <w:rPr>
                <w:rFonts w:ascii="Calibri" w:eastAsia="Times New Roman" w:hAnsi="Calibri"/>
                <w:color w:val="000000"/>
                <w:lang w:eastAsia="pt-BR"/>
              </w:rPr>
              <w:t xml:space="preserve"> do anteprojeto de resolução sobre a transparência das informações</w:t>
            </w:r>
            <w:r w:rsidR="00034105">
              <w:rPr>
                <w:rFonts w:ascii="Calibri" w:eastAsia="Times New Roman" w:hAnsi="Calibri"/>
                <w:color w:val="000000"/>
                <w:lang w:eastAsia="pt-BR"/>
              </w:rPr>
              <w:t>;</w:t>
            </w:r>
          </w:p>
          <w:p w14:paraId="4BFCF7F4" w14:textId="7FECAED7" w:rsidR="00034105" w:rsidRDefault="00034105" w:rsidP="003A35F9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034105">
              <w:rPr>
                <w:rFonts w:ascii="Calibri" w:eastAsia="Times New Roman" w:hAnsi="Calibri"/>
                <w:b/>
                <w:color w:val="000000"/>
                <w:lang w:eastAsia="pt-BR"/>
              </w:rPr>
              <w:t>3.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>
              <w:t xml:space="preserve"> </w:t>
            </w:r>
            <w:r w:rsidRPr="00034105">
              <w:rPr>
                <w:rFonts w:ascii="Calibri" w:eastAsia="Times New Roman" w:hAnsi="Calibri"/>
                <w:color w:val="000000"/>
                <w:lang w:eastAsia="pt-BR"/>
              </w:rPr>
              <w:t>Levantamento dos conteúdos trabalhados pela COA de 2012-2021, conforme solicitado na Deliberação do Conselho Diretor DCD-CAU/MG Nº 147.3.5.2021, de 18 de junho de 2021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;</w:t>
            </w:r>
          </w:p>
          <w:p w14:paraId="7FA117EE" w14:textId="00CD116C" w:rsidR="00034105" w:rsidRDefault="00034105" w:rsidP="003A35F9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034105">
              <w:rPr>
                <w:rFonts w:ascii="Calibri" w:eastAsia="Times New Roman" w:hAnsi="Calibri"/>
                <w:b/>
                <w:color w:val="000000"/>
                <w:lang w:eastAsia="pt-BR"/>
              </w:rPr>
              <w:t>4.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Pr="00034105">
              <w:rPr>
                <w:rFonts w:ascii="Calibri" w:eastAsia="Times New Roman" w:hAnsi="Calibri"/>
                <w:color w:val="000000"/>
                <w:lang w:eastAsia="pt-BR"/>
              </w:rPr>
              <w:t xml:space="preserve">Acompanhar tratativas sobre a campanha em formato de diálogo – </w:t>
            </w:r>
            <w:proofErr w:type="spellStart"/>
            <w:r w:rsidRPr="00034105">
              <w:rPr>
                <w:rFonts w:ascii="Calibri" w:eastAsia="Times New Roman" w:hAnsi="Calibri"/>
                <w:i/>
                <w:color w:val="000000"/>
                <w:lang w:eastAsia="pt-BR"/>
              </w:rPr>
              <w:t>podcast</w:t>
            </w:r>
            <w:proofErr w:type="spellEnd"/>
            <w:r>
              <w:rPr>
                <w:rFonts w:ascii="Calibri" w:eastAsia="Times New Roman" w:hAnsi="Calibri"/>
                <w:color w:val="000000"/>
                <w:lang w:eastAsia="pt-BR"/>
              </w:rPr>
              <w:t>;</w:t>
            </w:r>
          </w:p>
          <w:p w14:paraId="213BFE4B" w14:textId="29000503" w:rsidR="00034105" w:rsidRDefault="00034105" w:rsidP="003A35F9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034105">
              <w:rPr>
                <w:rFonts w:ascii="Calibri" w:eastAsia="Times New Roman" w:hAnsi="Calibri"/>
                <w:b/>
                <w:color w:val="000000"/>
                <w:lang w:eastAsia="pt-BR"/>
              </w:rPr>
              <w:t>5.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Pr="00034105">
              <w:rPr>
                <w:rFonts w:ascii="Calibri" w:eastAsia="Times New Roman" w:hAnsi="Calibri"/>
                <w:color w:val="000000"/>
                <w:lang w:eastAsia="pt-BR"/>
              </w:rPr>
              <w:t>Acompanhar as respostas aos pedidos de esclarecimento sobre editais de patrocínio ou to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mar outras providências cabíveis;</w:t>
            </w:r>
          </w:p>
          <w:p w14:paraId="4C32C758" w14:textId="709CAF00" w:rsidR="008C73EE" w:rsidRPr="003A35F9" w:rsidRDefault="00034105" w:rsidP="003A35F9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034105">
              <w:rPr>
                <w:rFonts w:ascii="Calibri" w:eastAsia="Times New Roman" w:hAnsi="Calibri"/>
                <w:b/>
                <w:color w:val="000000"/>
                <w:lang w:eastAsia="pt-BR"/>
              </w:rPr>
              <w:t>6.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Pr="00034105">
              <w:rPr>
                <w:rFonts w:ascii="Calibri" w:eastAsia="Times New Roman" w:hAnsi="Calibri"/>
                <w:color w:val="000000"/>
                <w:lang w:eastAsia="pt-BR"/>
              </w:rPr>
              <w:t>Acompanhar as Representações Institucionais realizadas pelos conselheiros e/ou outros representantes nomeados pela Presidência do CAU/MG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.</w:t>
            </w:r>
          </w:p>
        </w:tc>
      </w:tr>
      <w:tr w:rsidR="00AA3E3A" w:rsidRPr="00A46C95" w14:paraId="7B41F8C9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12B9C" w14:textId="77777777" w:rsidR="00AA3E3A" w:rsidRDefault="00AA3E3A" w:rsidP="00AA3E3A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C5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ENCERRAMENTO:</w:t>
            </w:r>
          </w:p>
          <w:p w14:paraId="3E346636" w14:textId="6F094F99" w:rsidR="000775A9" w:rsidRDefault="00AA3E3A" w:rsidP="00BC530A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3410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220</w:t>
            </w:r>
            <w:r w:rsidRPr="00B72B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ª reunião foi encerrada às </w:t>
            </w:r>
            <w:r w:rsidR="00BC53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12h00</w:t>
            </w:r>
            <w:r w:rsidRPr="00B72B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16D058E" w14:textId="77777777" w:rsidR="006F6058" w:rsidRPr="00A46C95" w:rsidRDefault="006F6058" w:rsidP="006F6058">
      <w:pPr>
        <w:rPr>
          <w:vanish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7911"/>
      </w:tblGrid>
      <w:tr w:rsidR="007E209E" w:rsidRPr="00A46C95" w14:paraId="6AB393CC" w14:textId="77777777" w:rsidTr="003B67A5">
        <w:trPr>
          <w:trHeight w:val="301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1E7ADE6C" w14:textId="664B1180" w:rsidR="007E209E" w:rsidRPr="003B67A5" w:rsidRDefault="003B67A5" w:rsidP="003B67A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 xml:space="preserve">   </w:t>
            </w:r>
            <w:r w:rsidRPr="003B67A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4. DETALHAMENTO DOS ASSUNTOS A SEREM TRATADOS</w:t>
            </w:r>
          </w:p>
        </w:tc>
      </w:tr>
      <w:tr w:rsidR="000256FE" w:rsidRPr="00A46C95" w14:paraId="4CF2C683" w14:textId="77777777" w:rsidTr="00AF1406">
        <w:trPr>
          <w:trHeight w:val="301"/>
        </w:trPr>
        <w:tc>
          <w:tcPr>
            <w:tcW w:w="257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015A94F" w14:textId="6F17ACD8" w:rsidR="000256FE" w:rsidRPr="00A46C95" w:rsidRDefault="000256FE" w:rsidP="000256F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0CED27" w14:textId="125E8C0C" w:rsidR="008750CF" w:rsidRPr="00EE1B28" w:rsidRDefault="00612252" w:rsidP="00612252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612252">
              <w:rPr>
                <w:rFonts w:ascii="Calibri" w:eastAsia="Times New Roman" w:hAnsi="Calibri"/>
                <w:b/>
                <w:bCs/>
                <w:color w:val="000000"/>
              </w:rPr>
              <w:t>3.1. Apreciação e aprovação da súmula da 219ª reunião da COA.</w:t>
            </w:r>
          </w:p>
        </w:tc>
      </w:tr>
      <w:tr w:rsidR="000256FE" w:rsidRPr="00A46C95" w14:paraId="4F6C936C" w14:textId="77777777" w:rsidTr="00C80C56">
        <w:trPr>
          <w:trHeight w:val="70"/>
        </w:trPr>
        <w:tc>
          <w:tcPr>
            <w:tcW w:w="2579" w:type="dxa"/>
            <w:shd w:val="clear" w:color="auto" w:fill="D9D9D9"/>
            <w:vAlign w:val="center"/>
          </w:tcPr>
          <w:p w14:paraId="0D5BDF83" w14:textId="77777777" w:rsidR="000256FE" w:rsidRPr="0008309D" w:rsidRDefault="000256FE" w:rsidP="000256F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F01E88">
              <w:rPr>
                <w:rFonts w:asciiTheme="minorHAnsi" w:eastAsia="Times New Roman" w:hAnsiTheme="minorHAnsi"/>
                <w:b/>
                <w:bCs/>
                <w:lang w:eastAsia="pt-BR"/>
              </w:rPr>
              <w:t>DESENVOLVIMENTO</w:t>
            </w:r>
          </w:p>
          <w:p w14:paraId="4E9A37CF" w14:textId="77777777" w:rsidR="000256FE" w:rsidRDefault="000256FE" w:rsidP="000256F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132989E1" w14:textId="480A5993" w:rsidR="000256FE" w:rsidRPr="0008309D" w:rsidRDefault="000256FE" w:rsidP="000256FE">
            <w:pPr>
              <w:rPr>
                <w:rFonts w:asciiTheme="minorHAnsi" w:eastAsia="Times New Roman" w:hAnsiTheme="minorHAnsi"/>
                <w:b/>
                <w:bCs/>
                <w:strike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3B9B49D7" w14:textId="79664885" w:rsidR="000256FE" w:rsidRPr="002D6449" w:rsidRDefault="00612252" w:rsidP="00612252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  <w:r w:rsidRPr="00612252">
              <w:rPr>
                <w:rFonts w:asciiTheme="minorHAnsi" w:hAnsiTheme="minorHAnsi" w:cs="Arial"/>
              </w:rPr>
              <w:t>No tocante ao cumprimento da lei de acesso à informação, a COA procedeu c</w:t>
            </w:r>
            <w:r>
              <w:rPr>
                <w:rFonts w:asciiTheme="minorHAnsi" w:hAnsiTheme="minorHAnsi" w:cs="Arial"/>
              </w:rPr>
              <w:t>om a apreciação da súmula da 219</w:t>
            </w:r>
            <w:r w:rsidRPr="00612252">
              <w:rPr>
                <w:rFonts w:asciiTheme="minorHAnsi" w:hAnsiTheme="minorHAnsi" w:cs="Arial"/>
              </w:rPr>
              <w:t xml:space="preserve">ª reunião da COA, </w:t>
            </w:r>
            <w:r w:rsidRPr="00612252">
              <w:rPr>
                <w:rFonts w:asciiTheme="minorHAnsi" w:hAnsiTheme="minorHAnsi" w:cs="Arial"/>
                <w:highlight w:val="yellow"/>
              </w:rPr>
              <w:t>deven</w:t>
            </w:r>
            <w:r w:rsidRPr="00612252">
              <w:rPr>
                <w:rFonts w:asciiTheme="minorHAnsi" w:hAnsiTheme="minorHAnsi" w:cs="Arial"/>
                <w:highlight w:val="yellow"/>
              </w:rPr>
              <w:t>do acusar de acordo por e-mail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0256FE" w:rsidRPr="00A46C95" w14:paraId="0A6F16D0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523FE147" w14:textId="092B116B" w:rsidR="000256FE" w:rsidRPr="00A46C95" w:rsidRDefault="000256FE" w:rsidP="000256F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lastRenderedPageBreak/>
              <w:t>DELIBERAÇÕES E ENCAMINHAMENTOS:</w:t>
            </w:r>
          </w:p>
        </w:tc>
        <w:tc>
          <w:tcPr>
            <w:tcW w:w="7911" w:type="dxa"/>
            <w:shd w:val="clear" w:color="auto" w:fill="auto"/>
          </w:tcPr>
          <w:p w14:paraId="77B23383" w14:textId="52305E48" w:rsidR="000256FE" w:rsidRPr="00A46C95" w:rsidRDefault="00612252" w:rsidP="000256FE">
            <w:pPr>
              <w:jc w:val="both"/>
              <w:rPr>
                <w:rFonts w:asciiTheme="minorHAnsi" w:hAnsiTheme="minorHAnsi" w:cs="Arial"/>
              </w:rPr>
            </w:pPr>
            <w:r w:rsidRPr="00612252">
              <w:rPr>
                <w:rFonts w:asciiTheme="minorHAnsi" w:hAnsiTheme="minorHAnsi" w:cs="Arial"/>
              </w:rPr>
              <w:t>Matéria não requereu manifestação por meio de deliberação.</w:t>
            </w:r>
          </w:p>
        </w:tc>
      </w:tr>
      <w:tr w:rsidR="00303A23" w:rsidRPr="00A46C95" w14:paraId="6734FD5C" w14:textId="77777777" w:rsidTr="007C765F">
        <w:trPr>
          <w:trHeight w:val="473"/>
        </w:trPr>
        <w:tc>
          <w:tcPr>
            <w:tcW w:w="2579" w:type="dxa"/>
            <w:shd w:val="clear" w:color="auto" w:fill="D9D9D9"/>
            <w:vAlign w:val="center"/>
          </w:tcPr>
          <w:p w14:paraId="7ED11A62" w14:textId="00845A2E" w:rsidR="00303A23" w:rsidRPr="00A46C95" w:rsidRDefault="00303A23" w:rsidP="00303A23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36EE18AA" w14:textId="760F6A06" w:rsidR="00303A23" w:rsidRPr="00821F84" w:rsidRDefault="00612252" w:rsidP="00821F84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612252">
              <w:rPr>
                <w:rFonts w:ascii="Calibri" w:eastAsia="Times New Roman" w:hAnsi="Calibri"/>
                <w:b/>
                <w:bCs/>
                <w:color w:val="000000"/>
              </w:rPr>
              <w:t xml:space="preserve">3.2. Deliberações Nº 024/2021 e Nº 025/2021 – COA-CAU/BR, que tratam, respectivamente, sobre a alteração da Resolução CAU/BR N° 104, de 26 de junho de 2015, e sobre o </w:t>
            </w:r>
            <w:proofErr w:type="spellStart"/>
            <w:r w:rsidRPr="00612252">
              <w:rPr>
                <w:rFonts w:ascii="Calibri" w:eastAsia="Times New Roman" w:hAnsi="Calibri"/>
                <w:b/>
                <w:bCs/>
                <w:color w:val="000000"/>
              </w:rPr>
              <w:t>reencaminhamento</w:t>
            </w:r>
            <w:proofErr w:type="spellEnd"/>
            <w:r w:rsidRPr="00612252">
              <w:rPr>
                <w:rFonts w:ascii="Calibri" w:eastAsia="Times New Roman" w:hAnsi="Calibri"/>
                <w:b/>
                <w:bCs/>
                <w:color w:val="000000"/>
              </w:rPr>
              <w:t xml:space="preserve"> do anteprojeto de resolução sobre </w:t>
            </w:r>
            <w:r w:rsidR="00034105">
              <w:rPr>
                <w:rFonts w:ascii="Calibri" w:eastAsia="Times New Roman" w:hAnsi="Calibri"/>
                <w:b/>
                <w:bCs/>
                <w:color w:val="000000"/>
              </w:rPr>
              <w:t>a transparência das informações</w:t>
            </w:r>
          </w:p>
        </w:tc>
      </w:tr>
      <w:tr w:rsidR="00303A23" w:rsidRPr="00A46C95" w14:paraId="4B5ACF51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1DEE0750" w14:textId="77777777" w:rsidR="00303A23" w:rsidRPr="0008309D" w:rsidRDefault="00303A23" w:rsidP="00303A23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F01E88">
              <w:rPr>
                <w:rFonts w:asciiTheme="minorHAnsi" w:eastAsia="Times New Roman" w:hAnsiTheme="minorHAnsi"/>
                <w:b/>
                <w:bCs/>
                <w:lang w:eastAsia="pt-BR"/>
              </w:rPr>
              <w:t>DESENVOLVIMENTO</w:t>
            </w:r>
          </w:p>
          <w:p w14:paraId="13BD7724" w14:textId="77777777" w:rsidR="00303A23" w:rsidRPr="00A46C95" w:rsidRDefault="00303A23" w:rsidP="00303A23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66905D5E" w14:textId="098EFC7C" w:rsidR="003775CD" w:rsidRPr="00731CB2" w:rsidRDefault="00612252" w:rsidP="00C04BBD">
            <w:pPr>
              <w:jc w:val="both"/>
              <w:rPr>
                <w:rFonts w:asciiTheme="minorHAnsi" w:hAnsiTheme="minorHAnsi" w:cs="Arial"/>
              </w:rPr>
            </w:pPr>
            <w:r w:rsidRPr="00612252">
              <w:rPr>
                <w:rFonts w:asciiTheme="minorHAnsi" w:hAnsiTheme="minorHAnsi" w:cs="Arial"/>
              </w:rPr>
              <w:t>Para efeito da proposta de alteração da Resolução CAU/BR N° 104</w:t>
            </w:r>
            <w:r>
              <w:rPr>
                <w:rFonts w:asciiTheme="minorHAnsi" w:hAnsiTheme="minorHAnsi" w:cs="Arial"/>
              </w:rPr>
              <w:t xml:space="preserve"> conforme aprovada e deliberada pela COA-CAU/BR após contribuições dos CAU/</w:t>
            </w:r>
            <w:proofErr w:type="spellStart"/>
            <w:r>
              <w:rPr>
                <w:rFonts w:asciiTheme="minorHAnsi" w:hAnsiTheme="minorHAnsi" w:cs="Arial"/>
              </w:rPr>
              <w:t>UFs</w:t>
            </w:r>
            <w:proofErr w:type="spellEnd"/>
            <w:r>
              <w:rPr>
                <w:rFonts w:asciiTheme="minorHAnsi" w:hAnsiTheme="minorHAnsi" w:cs="Arial"/>
              </w:rPr>
              <w:t>, das quais contou com a da COA-CAU/MG,</w:t>
            </w:r>
            <w:r w:rsidR="0031569F">
              <w:rPr>
                <w:rFonts w:asciiTheme="minorHAnsi" w:hAnsiTheme="minorHAnsi" w:cs="Arial"/>
              </w:rPr>
              <w:t xml:space="preserve"> acusando-se concordância com os termos expostos</w:t>
            </w:r>
            <w:r w:rsidR="00C04BBD">
              <w:rPr>
                <w:rFonts w:asciiTheme="minorHAnsi" w:hAnsiTheme="minorHAnsi" w:cs="Arial"/>
              </w:rPr>
              <w:t xml:space="preserve"> pelo ato</w:t>
            </w:r>
            <w:r w:rsidRPr="00612252">
              <w:rPr>
                <w:rFonts w:asciiTheme="minorHAnsi" w:hAnsiTheme="minorHAnsi" w:cs="Arial"/>
              </w:rPr>
              <w:t>.</w:t>
            </w:r>
            <w:r w:rsidR="0031569F">
              <w:rPr>
                <w:rFonts w:asciiTheme="minorHAnsi" w:hAnsiTheme="minorHAnsi" w:cs="Arial"/>
              </w:rPr>
              <w:t xml:space="preserve"> Constatada a previsão expressa no ato resolutivo que dispõe sobre a institucionalização do Serviço de Informação ao Cliente (SIC), designação das autoridades de monitoramento do Portal da Transparência e </w:t>
            </w:r>
            <w:r w:rsidR="00C04BBD" w:rsidRPr="00C04BBD">
              <w:rPr>
                <w:rFonts w:asciiTheme="minorHAnsi" w:hAnsiTheme="minorHAnsi" w:cs="Arial"/>
              </w:rPr>
              <w:t>da unidade gestora responsável pela manutenção do portal da transparência</w:t>
            </w:r>
            <w:r w:rsidR="00C04BBD">
              <w:rPr>
                <w:rFonts w:asciiTheme="minorHAnsi" w:hAnsiTheme="minorHAnsi" w:cs="Arial"/>
              </w:rPr>
              <w:t>, atentou-se para a necessidade de manifestação futura da COA a respeito de aprimoramento dos procedimentos relacionados à transparência e acesso à informação.</w:t>
            </w:r>
          </w:p>
        </w:tc>
      </w:tr>
      <w:tr w:rsidR="00303A23" w:rsidRPr="00A46C95" w14:paraId="6E794F3C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5AD4DD0A" w14:textId="6821FFAA" w:rsidR="00303A23" w:rsidRPr="00A46C95" w:rsidRDefault="00303A23" w:rsidP="00303A23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3330B415" w14:textId="702EB0BA" w:rsidR="00303A23" w:rsidRPr="000256FE" w:rsidRDefault="00C04BBD" w:rsidP="00821F8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Deliberação DCOA-CAUMG N. </w:t>
            </w:r>
            <w:r w:rsidR="002E5C88">
              <w:rPr>
                <w:rFonts w:asciiTheme="minorHAnsi" w:hAnsiTheme="minorHAnsi" w:cs="Arial"/>
              </w:rPr>
              <w:t>202.3.2</w:t>
            </w:r>
            <w:r>
              <w:rPr>
                <w:rFonts w:asciiTheme="minorHAnsi" w:hAnsiTheme="minorHAnsi" w:cs="Arial"/>
              </w:rPr>
              <w:t>/2021, que deliberou dar ciência à Presidência do CAU/MG de manifestação de acordo com a proposta do CAU/BR sobre a alteração da Resolução CAU/BR n. 104/2015</w:t>
            </w:r>
            <w:r w:rsidR="00147A61">
              <w:rPr>
                <w:rFonts w:asciiTheme="minorHAnsi" w:hAnsiTheme="minorHAnsi" w:cs="Arial"/>
              </w:rPr>
              <w:t>.</w:t>
            </w:r>
          </w:p>
        </w:tc>
      </w:tr>
      <w:tr w:rsidR="00612252" w:rsidRPr="00A46C95" w14:paraId="68B81E82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7C526BBE" w14:textId="5F7F9B18" w:rsidR="00612252" w:rsidRPr="00A46C95" w:rsidRDefault="00612252" w:rsidP="0061225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00FC438D" w14:textId="11E5D51F" w:rsidR="00612252" w:rsidRDefault="00612252" w:rsidP="00C17346">
            <w:pPr>
              <w:jc w:val="both"/>
              <w:rPr>
                <w:rFonts w:asciiTheme="minorHAnsi" w:hAnsiTheme="minorHAnsi" w:cs="Arial"/>
              </w:rPr>
            </w:pPr>
            <w:r w:rsidRPr="00612252">
              <w:rPr>
                <w:rFonts w:ascii="Calibri" w:eastAsia="Times New Roman" w:hAnsi="Calibri"/>
                <w:b/>
                <w:bCs/>
                <w:color w:val="000000"/>
              </w:rPr>
              <w:t>3.3. Levantamento dos conteúdos trabalhados pela COA de 2012-2021, conforme solicitado na Deliberação do Conselho Diretor DCD-CAU/MG Nº 147.3.</w:t>
            </w:r>
            <w:r w:rsidR="00C17346">
              <w:rPr>
                <w:rFonts w:ascii="Calibri" w:eastAsia="Times New Roman" w:hAnsi="Calibri"/>
                <w:b/>
                <w:bCs/>
                <w:color w:val="000000"/>
              </w:rPr>
              <w:t>5.2021, de 18 de junho de 2021</w:t>
            </w:r>
          </w:p>
        </w:tc>
      </w:tr>
      <w:tr w:rsidR="00612252" w:rsidRPr="00A46C95" w14:paraId="4578A0FE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3B086A2F" w14:textId="77777777" w:rsidR="00612252" w:rsidRPr="0008309D" w:rsidRDefault="00612252" w:rsidP="0061225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F01E88">
              <w:rPr>
                <w:rFonts w:asciiTheme="minorHAnsi" w:eastAsia="Times New Roman" w:hAnsiTheme="minorHAnsi"/>
                <w:b/>
                <w:bCs/>
                <w:lang w:eastAsia="pt-BR"/>
              </w:rPr>
              <w:t>DESENVOLVIMENTO</w:t>
            </w:r>
          </w:p>
          <w:p w14:paraId="69B396C5" w14:textId="77777777" w:rsidR="00612252" w:rsidRPr="00A46C95" w:rsidRDefault="00612252" w:rsidP="0061225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29ABF8E8" w14:textId="22500BE8" w:rsidR="00612252" w:rsidRDefault="008E7577" w:rsidP="002E5C8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Sobre o pedido do Conselho Diretor</w:t>
            </w:r>
            <w:r w:rsidRPr="008E7577">
              <w:rPr>
                <w:rFonts w:asciiTheme="minorHAnsi" w:hAnsiTheme="minorHAnsi" w:cs="Arial"/>
              </w:rPr>
              <w:t xml:space="preserve"> </w:t>
            </w:r>
            <w:r w:rsidR="001317C6">
              <w:rPr>
                <w:rFonts w:asciiTheme="minorHAnsi" w:hAnsiTheme="minorHAnsi" w:cs="Arial"/>
              </w:rPr>
              <w:t xml:space="preserve">do CAU/MG </w:t>
            </w:r>
            <w:r>
              <w:rPr>
                <w:rFonts w:asciiTheme="minorHAnsi" w:hAnsiTheme="minorHAnsi" w:cs="Arial"/>
              </w:rPr>
              <w:t xml:space="preserve">de levantamento dos conteúdos trabalhados </w:t>
            </w:r>
            <w:r w:rsidR="002E5C88">
              <w:rPr>
                <w:rFonts w:asciiTheme="minorHAnsi" w:hAnsiTheme="minorHAnsi" w:cs="Arial"/>
              </w:rPr>
              <w:t xml:space="preserve">e a trabalhar </w:t>
            </w:r>
            <w:r>
              <w:rPr>
                <w:rFonts w:asciiTheme="minorHAnsi" w:hAnsiTheme="minorHAnsi" w:cs="Arial"/>
              </w:rPr>
              <w:t xml:space="preserve">pela COA-CAU/MG em todas as gestões </w:t>
            </w:r>
            <w:r w:rsidR="001317C6">
              <w:rPr>
                <w:rFonts w:asciiTheme="minorHAnsi" w:hAnsiTheme="minorHAnsi" w:cs="Arial"/>
              </w:rPr>
              <w:t xml:space="preserve">para fins de publicação e divulgação – que em reunião anterior, teve a participação para esclarecimentos do Gerente Geral do CAU/MG Ariel Lazzarin – listou-se, de maneira geral, o escopo de trabalhos realizados pela COA-CAU/MG, incorporando aspectos </w:t>
            </w:r>
            <w:r w:rsidR="002E5C88">
              <w:rPr>
                <w:rFonts w:asciiTheme="minorHAnsi" w:hAnsiTheme="minorHAnsi" w:cs="Arial"/>
              </w:rPr>
              <w:t xml:space="preserve">vigentes relacionados à </w:t>
            </w:r>
            <w:r w:rsidR="001317C6">
              <w:rPr>
                <w:rFonts w:asciiTheme="minorHAnsi" w:hAnsiTheme="minorHAnsi" w:cs="Arial"/>
              </w:rPr>
              <w:t xml:space="preserve">eficiência e eficácia na organização e administração em seus vínculos com acompanhamento dos indicadores estratégicos, em particular de satisfação no atendimento do CAU/MG, inclusive do planejamento estratégico 2013-2023 </w:t>
            </w:r>
            <w:r w:rsidR="002E5C88">
              <w:rPr>
                <w:rFonts w:asciiTheme="minorHAnsi" w:hAnsiTheme="minorHAnsi" w:cs="Arial"/>
              </w:rPr>
              <w:t xml:space="preserve">e sua revisão em andamento. Além da proposição de criação e funcionamento de fórum regionais do CAU/MG. </w:t>
            </w:r>
          </w:p>
        </w:tc>
      </w:tr>
      <w:tr w:rsidR="00612252" w:rsidRPr="00A46C95" w14:paraId="3B47B717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6D4DA906" w14:textId="4CDE6A82" w:rsidR="00612252" w:rsidRPr="00A46C95" w:rsidRDefault="00612252" w:rsidP="0061225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575A38F3" w14:textId="61FC5F72" w:rsidR="00612252" w:rsidRDefault="002E5C88" w:rsidP="0061225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Deliberação </w:t>
            </w:r>
            <w:r>
              <w:rPr>
                <w:rFonts w:asciiTheme="minorHAnsi" w:hAnsiTheme="minorHAnsi" w:cs="Arial"/>
              </w:rPr>
              <w:t>DCOA-CAUMG N. 202.3.3</w:t>
            </w:r>
            <w:r w:rsidRPr="002E5C88">
              <w:rPr>
                <w:rFonts w:asciiTheme="minorHAnsi" w:hAnsiTheme="minorHAnsi" w:cs="Arial"/>
              </w:rPr>
              <w:t>/2021</w:t>
            </w:r>
            <w:r w:rsidR="00612252">
              <w:rPr>
                <w:rFonts w:asciiTheme="minorHAnsi" w:hAnsiTheme="minorHAnsi" w:cs="Arial"/>
              </w:rPr>
              <w:t>.</w:t>
            </w:r>
          </w:p>
        </w:tc>
      </w:tr>
      <w:tr w:rsidR="00612252" w:rsidRPr="00A46C95" w14:paraId="5F8508B7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3F5C2DD0" w14:textId="53D188BC" w:rsidR="00612252" w:rsidRPr="00A46C95" w:rsidRDefault="00612252" w:rsidP="0061225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4E564AEB" w14:textId="1AED1A1A" w:rsidR="00612252" w:rsidRDefault="00612252" w:rsidP="002E5C88">
            <w:pPr>
              <w:jc w:val="both"/>
              <w:rPr>
                <w:rFonts w:asciiTheme="minorHAnsi" w:hAnsiTheme="minorHAnsi" w:cs="Arial"/>
              </w:rPr>
            </w:pPr>
            <w:r w:rsidRPr="00612252">
              <w:rPr>
                <w:rFonts w:asciiTheme="minorHAnsi" w:hAnsiTheme="minorHAnsi" w:cs="Arial"/>
                <w:b/>
              </w:rPr>
              <w:t xml:space="preserve">3.4. Acompanhar tratativas sobre a campanha em formato de diálogo – </w:t>
            </w:r>
            <w:proofErr w:type="spellStart"/>
            <w:r w:rsidRPr="002E5C88">
              <w:rPr>
                <w:rFonts w:asciiTheme="minorHAnsi" w:hAnsiTheme="minorHAnsi" w:cs="Arial"/>
                <w:b/>
                <w:i/>
              </w:rPr>
              <w:t>podcast</w:t>
            </w:r>
            <w:proofErr w:type="spellEnd"/>
          </w:p>
        </w:tc>
      </w:tr>
      <w:tr w:rsidR="00612252" w:rsidRPr="00A46C95" w14:paraId="28C60D91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28777B53" w14:textId="77777777" w:rsidR="00612252" w:rsidRPr="0008309D" w:rsidRDefault="00612252" w:rsidP="0061225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F01E88">
              <w:rPr>
                <w:rFonts w:asciiTheme="minorHAnsi" w:eastAsia="Times New Roman" w:hAnsiTheme="minorHAnsi"/>
                <w:b/>
                <w:bCs/>
                <w:lang w:eastAsia="pt-BR"/>
              </w:rPr>
              <w:t>DESENVOLVIMENTO</w:t>
            </w:r>
          </w:p>
          <w:p w14:paraId="43DF0B8C" w14:textId="77777777" w:rsidR="00612252" w:rsidRPr="00A46C95" w:rsidRDefault="00612252" w:rsidP="0061225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5ECAE528" w14:textId="3F9F7F2E" w:rsidR="00612252" w:rsidRDefault="002E5C88" w:rsidP="0061225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Reconheceu-se que a partir da definição da data de lançamento do Edital de </w:t>
            </w:r>
            <w:r w:rsidRPr="002E5C88">
              <w:rPr>
                <w:rFonts w:asciiTheme="minorHAnsi" w:hAnsiTheme="minorHAnsi" w:cs="Arial"/>
              </w:rPr>
              <w:t>Boas Práticas</w:t>
            </w:r>
            <w:r>
              <w:rPr>
                <w:rFonts w:asciiTheme="minorHAnsi" w:hAnsiTheme="minorHAnsi" w:cs="Arial"/>
              </w:rPr>
              <w:t xml:space="preserve">, será procedido com a gravação do </w:t>
            </w:r>
            <w:proofErr w:type="spellStart"/>
            <w:r w:rsidRPr="002E5C88">
              <w:rPr>
                <w:rFonts w:asciiTheme="minorHAnsi" w:hAnsiTheme="minorHAnsi" w:cs="Arial"/>
                <w:i/>
              </w:rPr>
              <w:t>podcast</w:t>
            </w:r>
            <w:proofErr w:type="spellEnd"/>
            <w:r>
              <w:rPr>
                <w:rFonts w:asciiTheme="minorHAnsi" w:hAnsiTheme="minorHAnsi" w:cs="Arial"/>
              </w:rPr>
              <w:t>.</w:t>
            </w:r>
          </w:p>
        </w:tc>
      </w:tr>
      <w:tr w:rsidR="00612252" w:rsidRPr="00A46C95" w14:paraId="57A6E11C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5E6F3E15" w14:textId="0AC2EFA1" w:rsidR="00612252" w:rsidRPr="00A46C95" w:rsidRDefault="00612252" w:rsidP="0061225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6CAD83D1" w14:textId="767BC92D" w:rsidR="00612252" w:rsidRDefault="002E5C88" w:rsidP="005608DF">
            <w:pPr>
              <w:jc w:val="both"/>
              <w:rPr>
                <w:rFonts w:asciiTheme="minorHAnsi" w:hAnsiTheme="minorHAnsi" w:cs="Arial"/>
              </w:rPr>
            </w:pPr>
            <w:r w:rsidRPr="00612252">
              <w:rPr>
                <w:rFonts w:asciiTheme="minorHAnsi" w:hAnsiTheme="minorHAnsi" w:cs="Arial"/>
              </w:rPr>
              <w:t>Matéria não requereu manif</w:t>
            </w:r>
            <w:r>
              <w:rPr>
                <w:rFonts w:asciiTheme="minorHAnsi" w:hAnsiTheme="minorHAnsi" w:cs="Arial"/>
              </w:rPr>
              <w:t xml:space="preserve">estação por meio de deliberação, ficando para as próximas reuniões a definição de temas para os próximos </w:t>
            </w:r>
            <w:proofErr w:type="spellStart"/>
            <w:r w:rsidRPr="002E5C88">
              <w:rPr>
                <w:rFonts w:asciiTheme="minorHAnsi" w:hAnsiTheme="minorHAnsi" w:cs="Arial"/>
                <w:i/>
              </w:rPr>
              <w:t>podcast</w:t>
            </w:r>
            <w:proofErr w:type="spellEnd"/>
            <w:r>
              <w:rPr>
                <w:rFonts w:asciiTheme="minorHAnsi" w:hAnsiTheme="minorHAnsi" w:cs="Arial"/>
              </w:rPr>
              <w:t>.</w:t>
            </w:r>
          </w:p>
        </w:tc>
      </w:tr>
      <w:tr w:rsidR="00612252" w:rsidRPr="00A46C95" w14:paraId="006232FE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66328849" w14:textId="636C54D9" w:rsidR="00612252" w:rsidRPr="00A46C95" w:rsidRDefault="00612252" w:rsidP="0061225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3BA33CD9" w14:textId="547B5808" w:rsidR="00612252" w:rsidRPr="00612252" w:rsidRDefault="00612252" w:rsidP="00C17346">
            <w:pPr>
              <w:jc w:val="both"/>
              <w:rPr>
                <w:rFonts w:asciiTheme="minorHAnsi" w:hAnsiTheme="minorHAnsi" w:cs="Arial"/>
                <w:b/>
              </w:rPr>
            </w:pPr>
            <w:r w:rsidRPr="00612252">
              <w:rPr>
                <w:rFonts w:asciiTheme="minorHAnsi" w:hAnsiTheme="minorHAnsi" w:cs="Arial"/>
                <w:b/>
              </w:rPr>
              <w:t>3.5. Acompanhar as respostas aos pedidos de esclarecimento sobre editais de patrocínio ou toma</w:t>
            </w:r>
            <w:r w:rsidR="00C17346">
              <w:rPr>
                <w:rFonts w:asciiTheme="minorHAnsi" w:hAnsiTheme="minorHAnsi" w:cs="Arial"/>
                <w:b/>
              </w:rPr>
              <w:t>r outras providências cabíveis</w:t>
            </w:r>
          </w:p>
        </w:tc>
      </w:tr>
      <w:tr w:rsidR="00612252" w:rsidRPr="00A46C95" w14:paraId="334945DB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4DFFE5BE" w14:textId="77777777" w:rsidR="00612252" w:rsidRPr="0008309D" w:rsidRDefault="00612252" w:rsidP="0061225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F01E88">
              <w:rPr>
                <w:rFonts w:asciiTheme="minorHAnsi" w:eastAsia="Times New Roman" w:hAnsiTheme="minorHAnsi"/>
                <w:b/>
                <w:bCs/>
                <w:lang w:eastAsia="pt-BR"/>
              </w:rPr>
              <w:t>DESENVOLVIMENTO</w:t>
            </w:r>
          </w:p>
          <w:p w14:paraId="524AEBCD" w14:textId="77777777" w:rsidR="00612252" w:rsidRPr="00A46C95" w:rsidRDefault="00612252" w:rsidP="0061225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1F44F3CA" w14:textId="5F39BE65" w:rsidR="00612252" w:rsidRDefault="00C66F77" w:rsidP="00C66F77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fim de acompanhamento, apresentou-se os registros e manifestações sobre dúvidas recebidas de proponentes a respeito do Edital d</w:t>
            </w:r>
            <w:bookmarkStart w:id="0" w:name="_GoBack"/>
            <w:bookmarkEnd w:id="0"/>
            <w:r>
              <w:rPr>
                <w:rFonts w:asciiTheme="minorHAnsi" w:hAnsiTheme="minorHAnsi" w:cs="Arial"/>
              </w:rPr>
              <w:t>e Athis pela Assessoria de Eventos e pela Gerente de Planejamento, apresentou-se planilha compilada com as perguntas e respostas</w:t>
            </w:r>
            <w:r w:rsidR="00C17346">
              <w:rPr>
                <w:rFonts w:asciiTheme="minorHAnsi" w:hAnsiTheme="minorHAnsi" w:cs="Arial"/>
              </w:rPr>
              <w:t xml:space="preserve"> aprovada pela Coordenação da COA</w:t>
            </w:r>
            <w:r>
              <w:rPr>
                <w:rFonts w:asciiTheme="minorHAnsi" w:hAnsiTheme="minorHAnsi" w:cs="Arial"/>
              </w:rPr>
              <w:t xml:space="preserve">, municípios de origem da manifestação, data de recebimento e retorno ao requerente. Recomenda-se a criação de FAQ par ao próximo edital que contemple os mesmos termos deste em vigência. Destaca-se o dado município de origem da pergunta/interesse sobre o Edital, no seu cruzamento com a existência de Instituição de Ensino Superior e presença de empresas de Arquitetura e Urbanismo. Relatou-se que as dúvidas estão todas publicadas no portal eletrônico do CAU/MG, na seção correspondente ao Edital. </w:t>
            </w:r>
          </w:p>
        </w:tc>
      </w:tr>
      <w:tr w:rsidR="00612252" w:rsidRPr="00A46C95" w14:paraId="0AAC6B1F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1D09A240" w14:textId="6D1D8CDA" w:rsidR="00612252" w:rsidRPr="00A46C95" w:rsidRDefault="00612252" w:rsidP="0061225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15A233DD" w14:textId="5033215B" w:rsidR="00612252" w:rsidRDefault="00C66F77" w:rsidP="00612252">
            <w:pPr>
              <w:jc w:val="both"/>
              <w:rPr>
                <w:rFonts w:asciiTheme="minorHAnsi" w:hAnsiTheme="minorHAnsi" w:cs="Arial"/>
              </w:rPr>
            </w:pPr>
            <w:r w:rsidRPr="00612252">
              <w:rPr>
                <w:rFonts w:asciiTheme="minorHAnsi" w:hAnsiTheme="minorHAnsi" w:cs="Arial"/>
              </w:rPr>
              <w:t>Matéria não requereu manif</w:t>
            </w:r>
            <w:r>
              <w:rPr>
                <w:rFonts w:asciiTheme="minorHAnsi" w:hAnsiTheme="minorHAnsi" w:cs="Arial"/>
              </w:rPr>
              <w:t>estação por meio de deliberação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612252" w:rsidRPr="00A46C95" w14:paraId="71815D9B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25A51117" w14:textId="424351C8" w:rsidR="00612252" w:rsidRPr="00A46C95" w:rsidRDefault="00612252" w:rsidP="0061225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488D584D" w14:textId="20305C82" w:rsidR="00612252" w:rsidRPr="00612252" w:rsidRDefault="00612252" w:rsidP="00C17346">
            <w:pPr>
              <w:jc w:val="both"/>
              <w:rPr>
                <w:rFonts w:asciiTheme="minorHAnsi" w:hAnsiTheme="minorHAnsi" w:cs="Arial"/>
                <w:b/>
              </w:rPr>
            </w:pPr>
            <w:r w:rsidRPr="00612252">
              <w:rPr>
                <w:rFonts w:asciiTheme="minorHAnsi" w:hAnsiTheme="minorHAnsi" w:cs="Arial"/>
                <w:b/>
              </w:rPr>
              <w:t>3.6. Acompanhar as Representações Institucionais realizadas pelos conselheiros e/ou outros representantes nomead</w:t>
            </w:r>
            <w:r w:rsidR="00C17346">
              <w:rPr>
                <w:rFonts w:asciiTheme="minorHAnsi" w:hAnsiTheme="minorHAnsi" w:cs="Arial"/>
                <w:b/>
              </w:rPr>
              <w:t>os pela Presidência do CAU/MG</w:t>
            </w:r>
          </w:p>
        </w:tc>
      </w:tr>
      <w:tr w:rsidR="00612252" w:rsidRPr="00A46C95" w14:paraId="590BCB45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2BA53A1A" w14:textId="77777777" w:rsidR="00612252" w:rsidRPr="0008309D" w:rsidRDefault="00612252" w:rsidP="0061225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F01E88">
              <w:rPr>
                <w:rFonts w:asciiTheme="minorHAnsi" w:eastAsia="Times New Roman" w:hAnsiTheme="minorHAnsi"/>
                <w:b/>
                <w:bCs/>
                <w:lang w:eastAsia="pt-BR"/>
              </w:rPr>
              <w:t>DESENVOLVIMENTO</w:t>
            </w:r>
          </w:p>
          <w:p w14:paraId="0AF10922" w14:textId="77777777" w:rsidR="00612252" w:rsidRPr="00A46C95" w:rsidRDefault="00612252" w:rsidP="0061225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5BF820B6" w14:textId="1C81150B" w:rsidR="00612252" w:rsidRDefault="00926CD7" w:rsidP="00C1734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Quanto </w:t>
            </w:r>
            <w:r w:rsidR="00C17346">
              <w:rPr>
                <w:rFonts w:asciiTheme="minorHAnsi" w:hAnsiTheme="minorHAnsi" w:cs="Arial"/>
              </w:rPr>
              <w:t xml:space="preserve">ao compartilhamento dos papéis de representação do </w:t>
            </w:r>
            <w:r>
              <w:rPr>
                <w:rFonts w:asciiTheme="minorHAnsi" w:hAnsiTheme="minorHAnsi" w:cs="Arial"/>
              </w:rPr>
              <w:t>CAU/MG</w:t>
            </w:r>
            <w:r w:rsidR="00C17346">
              <w:rPr>
                <w:rFonts w:asciiTheme="minorHAnsi" w:hAnsiTheme="minorHAnsi" w:cs="Arial"/>
              </w:rPr>
              <w:t xml:space="preserve"> no Estado de Minas Gerais</w:t>
            </w:r>
            <w:r>
              <w:rPr>
                <w:rFonts w:asciiTheme="minorHAnsi" w:hAnsiTheme="minorHAnsi" w:cs="Arial"/>
              </w:rPr>
              <w:t xml:space="preserve"> em órgãos e entidades</w:t>
            </w:r>
            <w:r w:rsidR="00C17346">
              <w:rPr>
                <w:rFonts w:asciiTheme="minorHAnsi" w:hAnsiTheme="minorHAnsi" w:cs="Arial"/>
              </w:rPr>
              <w:t xml:space="preserve">, comunicou-se que os relatórios de representação estão sendo disponibilizados no portal eletrônico do CAU/MG, a partir da apresentação de planilha </w:t>
            </w:r>
            <w:r w:rsidR="00C17346" w:rsidRPr="00C17346">
              <w:rPr>
                <w:rFonts w:asciiTheme="minorHAnsi" w:hAnsiTheme="minorHAnsi" w:cs="Arial"/>
              </w:rPr>
              <w:t>atualizada emitida pela Secretaria Geral</w:t>
            </w:r>
            <w:r w:rsidR="00C17346">
              <w:rPr>
                <w:rFonts w:asciiTheme="minorHAnsi" w:hAnsiTheme="minorHAnsi" w:cs="Arial"/>
              </w:rPr>
              <w:t xml:space="preserve"> com registro destas atividades de representação. Destaca-se </w:t>
            </w:r>
            <w:r w:rsidR="00404BCD">
              <w:rPr>
                <w:rFonts w:asciiTheme="minorHAnsi" w:hAnsiTheme="minorHAnsi" w:cs="Arial"/>
              </w:rPr>
              <w:t xml:space="preserve">esse </w:t>
            </w:r>
            <w:r w:rsidR="00C17346">
              <w:rPr>
                <w:rFonts w:asciiTheme="minorHAnsi" w:hAnsiTheme="minorHAnsi" w:cs="Arial"/>
              </w:rPr>
              <w:t xml:space="preserve">como principal </w:t>
            </w:r>
            <w:r w:rsidR="00404BCD">
              <w:rPr>
                <w:rFonts w:asciiTheme="minorHAnsi" w:hAnsiTheme="minorHAnsi" w:cs="Arial"/>
              </w:rPr>
              <w:t xml:space="preserve">e fundamental </w:t>
            </w:r>
            <w:r w:rsidR="00C17346">
              <w:rPr>
                <w:rFonts w:asciiTheme="minorHAnsi" w:hAnsiTheme="minorHAnsi" w:cs="Arial"/>
              </w:rPr>
              <w:t xml:space="preserve">mecanismo de representação social da arquiteta e arquiteto e urbanista junto à sociedade em </w:t>
            </w:r>
            <w:r w:rsidR="00404BCD">
              <w:rPr>
                <w:rFonts w:asciiTheme="minorHAnsi" w:hAnsiTheme="minorHAnsi" w:cs="Arial"/>
              </w:rPr>
              <w:t>suas demandas reais e concretas, face o próprio campo de experiências trazidos pelos membros da Comissão para o debate que podem vir a compor debates e encontros futuros.</w:t>
            </w:r>
          </w:p>
        </w:tc>
      </w:tr>
      <w:tr w:rsidR="00612252" w:rsidRPr="00A46C95" w14:paraId="6651B200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3481F826" w14:textId="7CB2C61E" w:rsidR="00612252" w:rsidRPr="00A46C95" w:rsidRDefault="00612252" w:rsidP="0061225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392DCBCC" w14:textId="77777777" w:rsidR="00612252" w:rsidRDefault="00C17346" w:rsidP="00612252">
            <w:pPr>
              <w:jc w:val="both"/>
              <w:rPr>
                <w:rFonts w:asciiTheme="minorHAnsi" w:hAnsiTheme="minorHAnsi" w:cs="Arial"/>
              </w:rPr>
            </w:pPr>
            <w:r w:rsidRPr="00612252">
              <w:rPr>
                <w:rFonts w:asciiTheme="minorHAnsi" w:hAnsiTheme="minorHAnsi" w:cs="Arial"/>
              </w:rPr>
              <w:t>Matéria não requereu manif</w:t>
            </w:r>
            <w:r>
              <w:rPr>
                <w:rFonts w:asciiTheme="minorHAnsi" w:hAnsiTheme="minorHAnsi" w:cs="Arial"/>
              </w:rPr>
              <w:t>estação por meio de deliberação.</w:t>
            </w:r>
          </w:p>
          <w:p w14:paraId="79199AB9" w14:textId="0E544423" w:rsidR="00C17346" w:rsidRDefault="00C17346" w:rsidP="00612252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12252" w:rsidRPr="00A46C95" w14:paraId="35419138" w14:textId="77777777" w:rsidTr="001D04C2">
        <w:trPr>
          <w:trHeight w:val="306"/>
        </w:trPr>
        <w:tc>
          <w:tcPr>
            <w:tcW w:w="10490" w:type="dxa"/>
            <w:gridSpan w:val="2"/>
            <w:shd w:val="clear" w:color="auto" w:fill="D9D9D9"/>
          </w:tcPr>
          <w:p w14:paraId="7AB60DEF" w14:textId="77777777" w:rsidR="00612252" w:rsidRPr="00A46C95" w:rsidRDefault="00612252" w:rsidP="0061225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</w:t>
            </w:r>
            <w:r w:rsidRPr="00A46C95">
              <w:rPr>
                <w:rFonts w:asciiTheme="minorHAnsi" w:hAnsiTheme="minorHAnsi" w:cs="Arial"/>
                <w:b/>
              </w:rPr>
              <w:t xml:space="preserve">. </w:t>
            </w:r>
            <w:r>
              <w:rPr>
                <w:rFonts w:asciiTheme="minorHAnsi" w:hAnsiTheme="minorHAnsi" w:cs="Arial"/>
                <w:b/>
              </w:rPr>
              <w:t>OUTROS ASSUNTOS</w:t>
            </w:r>
          </w:p>
        </w:tc>
      </w:tr>
      <w:tr w:rsidR="00612252" w:rsidRPr="00A46C95" w14:paraId="01D4ACC0" w14:textId="77777777" w:rsidTr="001D04C2">
        <w:trPr>
          <w:trHeight w:val="628"/>
        </w:trPr>
        <w:tc>
          <w:tcPr>
            <w:tcW w:w="10490" w:type="dxa"/>
            <w:gridSpan w:val="2"/>
            <w:shd w:val="clear" w:color="auto" w:fill="auto"/>
          </w:tcPr>
          <w:p w14:paraId="2F6CF3E0" w14:textId="495D669C" w:rsidR="00612252" w:rsidRPr="008750CF" w:rsidRDefault="00EA5405" w:rsidP="005125D4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Pensar sobre a promoção de encontros “informais”, mesmo virtuais, para realizar uma roda de conversa </w:t>
            </w:r>
            <w:r w:rsidR="00BC530A">
              <w:rPr>
                <w:rFonts w:asciiTheme="minorHAnsi" w:hAnsiTheme="minorHAnsi" w:cs="Arial"/>
                <w:bCs/>
              </w:rPr>
              <w:t>entre dirigentes e conselheiros e empregados, com temáticas diversas.</w:t>
            </w:r>
          </w:p>
        </w:tc>
      </w:tr>
    </w:tbl>
    <w:p w14:paraId="2C77604C" w14:textId="77777777" w:rsidR="001D04C2" w:rsidRDefault="001D04C2" w:rsidP="00F055BF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33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08309D" w:rsidRPr="00A46C95" w14:paraId="49F47911" w14:textId="77777777" w:rsidTr="001D04C2">
        <w:trPr>
          <w:trHeight w:val="31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5FC7F" w14:textId="5CA2FCF6" w:rsidR="0008309D" w:rsidRPr="00A46C95" w:rsidRDefault="001D04C2" w:rsidP="00A16AA8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6</w:t>
            </w:r>
            <w:r w:rsidR="0008309D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. </w:t>
            </w:r>
            <w:r w:rsidR="0008309D"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ENCERRAMENTO</w:t>
            </w:r>
          </w:p>
        </w:tc>
      </w:tr>
      <w:tr w:rsidR="0008309D" w:rsidRPr="00A46C95" w14:paraId="486FC9D4" w14:textId="77777777" w:rsidTr="001D04C2">
        <w:trPr>
          <w:trHeight w:val="1038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E1387" w14:textId="7D13AD89" w:rsidR="0008309D" w:rsidRPr="00A46C95" w:rsidRDefault="0008309D" w:rsidP="00BC530A">
            <w:pPr>
              <w:jc w:val="both"/>
              <w:rPr>
                <w:rFonts w:asciiTheme="minorHAnsi" w:hAnsiTheme="minorHAnsi" w:cs="Arial"/>
              </w:rPr>
            </w:pPr>
            <w:r w:rsidRPr="00A46C95">
              <w:rPr>
                <w:rFonts w:asciiTheme="minorHAnsi" w:hAnsiTheme="minorHAnsi" w:cs="Arial"/>
              </w:rPr>
              <w:t xml:space="preserve">Às </w:t>
            </w:r>
            <w:r w:rsidRPr="00BC530A">
              <w:rPr>
                <w:rFonts w:asciiTheme="minorHAnsi" w:hAnsiTheme="minorHAnsi" w:cs="Arial"/>
              </w:rPr>
              <w:t>1</w:t>
            </w:r>
            <w:r w:rsidR="00BC530A" w:rsidRPr="00BC530A">
              <w:rPr>
                <w:rFonts w:asciiTheme="minorHAnsi" w:hAnsiTheme="minorHAnsi" w:cs="Arial"/>
              </w:rPr>
              <w:t>2</w:t>
            </w:r>
            <w:r w:rsidRPr="00BC530A">
              <w:rPr>
                <w:rFonts w:asciiTheme="minorHAnsi" w:hAnsiTheme="minorHAnsi" w:cs="Arial"/>
              </w:rPr>
              <w:t>h</w:t>
            </w:r>
            <w:r w:rsidR="00BC530A">
              <w:rPr>
                <w:rFonts w:asciiTheme="minorHAnsi" w:hAnsiTheme="minorHAnsi" w:cs="Arial"/>
              </w:rPr>
              <w:t>00</w:t>
            </w:r>
            <w:r w:rsidRPr="00A46C95">
              <w:rPr>
                <w:rFonts w:asciiTheme="minorHAnsi" w:hAnsiTheme="minorHAnsi" w:cs="Arial"/>
              </w:rPr>
              <w:t>min, tendo sido o que havia a ser tratado, a Coordenadora</w:t>
            </w:r>
            <w:r w:rsidR="002C1F28">
              <w:rPr>
                <w:rFonts w:asciiTheme="minorHAnsi" w:hAnsiTheme="minorHAnsi" w:cs="Arial"/>
              </w:rPr>
              <w:t xml:space="preserve"> </w:t>
            </w:r>
            <w:r w:rsidR="00B357FB">
              <w:rPr>
                <w:rFonts w:asciiTheme="minorHAnsi" w:hAnsiTheme="minorHAnsi" w:cs="Arial"/>
                <w:b/>
                <w:bCs/>
              </w:rPr>
              <w:t xml:space="preserve">Elaine Saraiva </w:t>
            </w:r>
            <w:proofErr w:type="spellStart"/>
            <w:r w:rsidR="00B357FB">
              <w:rPr>
                <w:rFonts w:asciiTheme="minorHAnsi" w:hAnsiTheme="minorHAnsi" w:cs="Arial"/>
                <w:b/>
                <w:bCs/>
              </w:rPr>
              <w:t>Calderari</w:t>
            </w:r>
            <w:proofErr w:type="spellEnd"/>
            <w:r w:rsidRPr="00A46C95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C17346">
              <w:rPr>
                <w:rFonts w:asciiTheme="minorHAnsi" w:hAnsiTheme="minorHAnsi" w:cs="Arial"/>
              </w:rPr>
              <w:t>encerrou a 220</w:t>
            </w:r>
            <w:r w:rsidRPr="00A46C95">
              <w:rPr>
                <w:rFonts w:asciiTheme="minorHAnsi" w:hAnsiTheme="minorHAnsi" w:cs="Arial"/>
              </w:rPr>
              <w:t>ª Reunião da Comissão de Organização e Administração do CAU/MG. Para os devidos fins, foi lavrada esta Súmula que segue assinada pelos participantes convocados da reunião, e pela assessora Rita Gomes Lopes.</w:t>
            </w:r>
          </w:p>
        </w:tc>
      </w:tr>
    </w:tbl>
    <w:p w14:paraId="7A98E7D1" w14:textId="77777777" w:rsidR="0008309D" w:rsidRDefault="0008309D" w:rsidP="0008309D">
      <w:pPr>
        <w:rPr>
          <w:rFonts w:ascii="Calibri" w:hAnsi="Calibri" w:cs="Arial"/>
          <w:b/>
        </w:rPr>
      </w:pPr>
    </w:p>
    <w:p w14:paraId="08A7D564" w14:textId="77777777" w:rsidR="00914970" w:rsidRPr="00A46C95" w:rsidRDefault="00914970" w:rsidP="0008309D">
      <w:pPr>
        <w:rPr>
          <w:rFonts w:ascii="Calibri" w:hAnsi="Calibri" w:cs="Arial"/>
          <w:b/>
        </w:rPr>
      </w:pPr>
    </w:p>
    <w:p w14:paraId="2078925D" w14:textId="77777777" w:rsidR="00B357FB" w:rsidRPr="002A75C6" w:rsidRDefault="00B357FB" w:rsidP="00B357FB">
      <w:pPr>
        <w:rPr>
          <w:rFonts w:ascii="Arial" w:hAnsi="Arial" w:cs="Arial"/>
          <w:b/>
          <w:sz w:val="20"/>
          <w:szCs w:val="20"/>
        </w:rPr>
      </w:pPr>
      <w:r w:rsidRPr="00B357FB">
        <w:rPr>
          <w:rFonts w:asciiTheme="minorHAnsi" w:hAnsiTheme="minorHAnsi" w:cstheme="minorHAnsi"/>
          <w:b/>
        </w:rPr>
        <w:t xml:space="preserve">Elaine Saraiva </w:t>
      </w:r>
      <w:proofErr w:type="gramStart"/>
      <w:r w:rsidRPr="00B357FB">
        <w:rPr>
          <w:rFonts w:asciiTheme="minorHAnsi" w:hAnsiTheme="minorHAnsi" w:cstheme="minorHAnsi"/>
          <w:b/>
        </w:rPr>
        <w:t xml:space="preserve">Calderari  </w:t>
      </w:r>
      <w:r w:rsidRPr="002A75C6">
        <w:rPr>
          <w:rFonts w:ascii="Arial" w:hAnsi="Arial" w:cs="Arial"/>
          <w:b/>
          <w:sz w:val="20"/>
          <w:szCs w:val="20"/>
        </w:rPr>
        <w:tab/>
      </w:r>
      <w:proofErr w:type="gramEnd"/>
      <w:r w:rsidRPr="002A75C6">
        <w:rPr>
          <w:rFonts w:ascii="Arial" w:hAnsi="Arial" w:cs="Arial"/>
          <w:b/>
          <w:sz w:val="20"/>
          <w:szCs w:val="20"/>
        </w:rPr>
        <w:tab/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2A75C6">
        <w:rPr>
          <w:rFonts w:ascii="Arial" w:hAnsi="Arial" w:cs="Arial"/>
          <w:b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>____________________________________</w:t>
      </w:r>
      <w:r w:rsidRPr="002A75C6">
        <w:rPr>
          <w:rFonts w:ascii="Arial" w:hAnsi="Arial" w:cs="Arial"/>
          <w:b/>
          <w:sz w:val="20"/>
          <w:szCs w:val="20"/>
        </w:rPr>
        <w:t xml:space="preserve">         </w:t>
      </w:r>
    </w:p>
    <w:p w14:paraId="4C93AACA" w14:textId="77777777" w:rsidR="00B357FB" w:rsidRPr="00B357FB" w:rsidRDefault="00B357FB" w:rsidP="00B357FB">
      <w:pPr>
        <w:rPr>
          <w:rFonts w:asciiTheme="minorHAnsi" w:hAnsiTheme="minorHAnsi" w:cstheme="minorHAnsi"/>
        </w:rPr>
      </w:pPr>
      <w:r w:rsidRPr="00B357FB">
        <w:rPr>
          <w:rFonts w:asciiTheme="minorHAnsi" w:hAnsiTheme="minorHAnsi" w:cstheme="minorHAnsi"/>
        </w:rPr>
        <w:t xml:space="preserve">Coordenadora da COA-CAU/MG                                                 </w:t>
      </w:r>
    </w:p>
    <w:p w14:paraId="580BD947" w14:textId="77777777" w:rsidR="00B357FB" w:rsidRPr="00B357FB" w:rsidRDefault="00B357FB" w:rsidP="00B357FB">
      <w:pPr>
        <w:rPr>
          <w:rFonts w:asciiTheme="minorHAnsi" w:hAnsiTheme="minorHAnsi" w:cstheme="minorHAnsi"/>
        </w:rPr>
      </w:pPr>
    </w:p>
    <w:p w14:paraId="7277F14C" w14:textId="0E9E51F5" w:rsidR="00303A23" w:rsidRPr="002A75C6" w:rsidRDefault="00303A23" w:rsidP="00303A23">
      <w:pPr>
        <w:rPr>
          <w:rFonts w:ascii="Arial" w:hAnsi="Arial" w:cs="Arial"/>
          <w:b/>
          <w:sz w:val="20"/>
          <w:szCs w:val="20"/>
        </w:rPr>
      </w:pPr>
      <w:r w:rsidRPr="00303A23">
        <w:rPr>
          <w:rFonts w:asciiTheme="minorHAnsi" w:hAnsiTheme="minorHAnsi" w:cstheme="minorHAnsi"/>
          <w:b/>
        </w:rPr>
        <w:t>Maria Carolina Nassif Mesquita de Paula</w:t>
      </w:r>
      <w:r w:rsidRPr="002A75C6">
        <w:rPr>
          <w:rFonts w:ascii="Arial" w:hAnsi="Arial" w:cs="Arial"/>
          <w:b/>
          <w:sz w:val="20"/>
          <w:szCs w:val="20"/>
        </w:rPr>
        <w:t xml:space="preserve">       </w:t>
      </w:r>
      <w:r w:rsidRPr="002A75C6">
        <w:rPr>
          <w:rFonts w:ascii="Arial" w:hAnsi="Arial" w:cs="Arial"/>
          <w:sz w:val="20"/>
          <w:szCs w:val="20"/>
        </w:rPr>
        <w:t xml:space="preserve">____________________________________ </w:t>
      </w:r>
    </w:p>
    <w:p w14:paraId="7E70E9C4" w14:textId="77777777" w:rsidR="00303A23" w:rsidRPr="00303A23" w:rsidRDefault="00303A23" w:rsidP="00303A23">
      <w:pPr>
        <w:rPr>
          <w:rFonts w:asciiTheme="minorHAnsi" w:hAnsiTheme="minorHAnsi" w:cstheme="minorHAnsi"/>
        </w:rPr>
      </w:pPr>
      <w:r w:rsidRPr="00303A23">
        <w:rPr>
          <w:rFonts w:asciiTheme="minorHAnsi" w:hAnsiTheme="minorHAnsi" w:cstheme="minorHAnsi"/>
        </w:rPr>
        <w:t>Coordenadora-adjunta da COA-CAU/MG</w:t>
      </w:r>
    </w:p>
    <w:p w14:paraId="4CC4F977" w14:textId="77777777" w:rsidR="00303A23" w:rsidRDefault="00303A23" w:rsidP="00303A23">
      <w:pPr>
        <w:rPr>
          <w:rFonts w:ascii="Arial" w:hAnsi="Arial" w:cs="Arial"/>
          <w:b/>
          <w:sz w:val="20"/>
          <w:szCs w:val="20"/>
        </w:rPr>
      </w:pPr>
    </w:p>
    <w:p w14:paraId="4E843C02" w14:textId="5531740B" w:rsidR="00303A23" w:rsidRPr="002A75C6" w:rsidRDefault="00027A45" w:rsidP="00303A23">
      <w:pPr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>Carlos Eduardo Rodrigues Duarte</w:t>
      </w:r>
      <w:r w:rsidR="00303A23" w:rsidRPr="002A75C6">
        <w:rPr>
          <w:rFonts w:ascii="Arial" w:hAnsi="Arial" w:cs="Arial"/>
          <w:b/>
          <w:sz w:val="20"/>
          <w:szCs w:val="20"/>
        </w:rPr>
        <w:t xml:space="preserve">        </w:t>
      </w:r>
      <w:r w:rsidR="00303A23">
        <w:rPr>
          <w:rFonts w:ascii="Arial" w:hAnsi="Arial" w:cs="Arial"/>
          <w:b/>
          <w:sz w:val="20"/>
          <w:szCs w:val="20"/>
        </w:rPr>
        <w:t xml:space="preserve">             </w:t>
      </w:r>
      <w:r w:rsidR="00303A23" w:rsidRPr="002A75C6">
        <w:rPr>
          <w:rFonts w:ascii="Arial" w:hAnsi="Arial" w:cs="Arial"/>
          <w:sz w:val="20"/>
          <w:szCs w:val="20"/>
        </w:rPr>
        <w:t>____________________________________</w:t>
      </w:r>
    </w:p>
    <w:p w14:paraId="41FEF82F" w14:textId="05AE0FFD" w:rsidR="00303A23" w:rsidRDefault="00303A23" w:rsidP="00303A23">
      <w:pPr>
        <w:rPr>
          <w:rFonts w:asciiTheme="minorHAnsi" w:hAnsiTheme="minorHAnsi" w:cstheme="minorHAnsi"/>
        </w:rPr>
      </w:pPr>
      <w:r w:rsidRPr="00303A23">
        <w:rPr>
          <w:rFonts w:asciiTheme="minorHAnsi" w:hAnsiTheme="minorHAnsi" w:cstheme="minorHAnsi"/>
        </w:rPr>
        <w:t>Membro da COA-CAU/MG</w:t>
      </w:r>
    </w:p>
    <w:p w14:paraId="01A80D65" w14:textId="27167CD0" w:rsidR="00B357FB" w:rsidRDefault="00B357FB" w:rsidP="00303A23">
      <w:pPr>
        <w:rPr>
          <w:rFonts w:asciiTheme="minorHAnsi" w:hAnsiTheme="minorHAnsi" w:cstheme="minorHAnsi"/>
        </w:rPr>
      </w:pPr>
    </w:p>
    <w:p w14:paraId="4CEF68ED" w14:textId="2884866F" w:rsidR="00B357FB" w:rsidRPr="002A75C6" w:rsidRDefault="00C17346" w:rsidP="00B357FB">
      <w:pPr>
        <w:rPr>
          <w:rFonts w:ascii="Arial" w:hAnsi="Arial" w:cs="Arial"/>
          <w:b/>
          <w:sz w:val="20"/>
          <w:szCs w:val="20"/>
        </w:rPr>
      </w:pPr>
      <w:r w:rsidRPr="00C17346">
        <w:rPr>
          <w:rFonts w:asciiTheme="minorHAnsi" w:hAnsiTheme="minorHAnsi" w:cstheme="minorHAnsi"/>
          <w:b/>
        </w:rPr>
        <w:t>Sergio Myssior</w:t>
      </w:r>
      <w:r>
        <w:rPr>
          <w:rFonts w:asciiTheme="minorHAnsi" w:hAnsiTheme="minorHAnsi" w:cstheme="minorHAnsi"/>
          <w:b/>
        </w:rPr>
        <w:t xml:space="preserve">                                              </w:t>
      </w:r>
      <w:r w:rsidR="00B357FB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_______</w:t>
      </w:r>
      <w:r w:rsidR="0007000A">
        <w:rPr>
          <w:rFonts w:ascii="Arial" w:hAnsi="Arial" w:cs="Arial"/>
          <w:b/>
          <w:sz w:val="20"/>
          <w:szCs w:val="20"/>
        </w:rPr>
        <w:t>_</w:t>
      </w:r>
      <w:r w:rsidR="00B357FB" w:rsidRPr="002A75C6">
        <w:rPr>
          <w:rFonts w:ascii="Arial" w:hAnsi="Arial" w:cs="Arial"/>
          <w:sz w:val="20"/>
          <w:szCs w:val="20"/>
        </w:rPr>
        <w:t>________________________</w:t>
      </w:r>
      <w:r w:rsidR="00B357FB">
        <w:rPr>
          <w:rFonts w:ascii="Arial" w:hAnsi="Arial" w:cs="Arial"/>
          <w:sz w:val="20"/>
          <w:szCs w:val="20"/>
        </w:rPr>
        <w:t>_____</w:t>
      </w:r>
    </w:p>
    <w:p w14:paraId="179919EA" w14:textId="77777777" w:rsidR="00B357FB" w:rsidRPr="00B357FB" w:rsidRDefault="00B357FB" w:rsidP="00B357FB">
      <w:pPr>
        <w:rPr>
          <w:rFonts w:asciiTheme="minorHAnsi" w:hAnsiTheme="minorHAnsi" w:cstheme="minorHAnsi"/>
        </w:rPr>
      </w:pPr>
      <w:r w:rsidRPr="00B357FB">
        <w:rPr>
          <w:rFonts w:asciiTheme="minorHAnsi" w:hAnsiTheme="minorHAnsi" w:cstheme="minorHAnsi"/>
        </w:rPr>
        <w:t>Membro da COA-CAU/MG</w:t>
      </w:r>
    </w:p>
    <w:p w14:paraId="24BEF5FB" w14:textId="77777777" w:rsidR="00B357FB" w:rsidRDefault="00B357FB" w:rsidP="00303A23">
      <w:pPr>
        <w:rPr>
          <w:rFonts w:asciiTheme="minorHAnsi" w:hAnsiTheme="minorHAnsi" w:cstheme="minorHAnsi"/>
        </w:rPr>
      </w:pPr>
    </w:p>
    <w:p w14:paraId="7DE61385" w14:textId="77777777" w:rsidR="00303A23" w:rsidRPr="002A75C6" w:rsidRDefault="00303A23" w:rsidP="00303A23">
      <w:pPr>
        <w:rPr>
          <w:rFonts w:ascii="Arial" w:hAnsi="Arial" w:cs="Arial"/>
          <w:b/>
          <w:sz w:val="20"/>
          <w:szCs w:val="20"/>
        </w:rPr>
      </w:pPr>
    </w:p>
    <w:p w14:paraId="2E671235" w14:textId="77777777" w:rsidR="0008309D" w:rsidRPr="00A46C95" w:rsidRDefault="0008309D" w:rsidP="0008309D">
      <w:pPr>
        <w:rPr>
          <w:rFonts w:asciiTheme="minorHAnsi" w:hAnsiTheme="minorHAnsi" w:cstheme="minorHAnsi"/>
          <w:b/>
        </w:rPr>
      </w:pPr>
    </w:p>
    <w:p w14:paraId="43324270" w14:textId="77777777" w:rsidR="0008309D" w:rsidRPr="00A46C95" w:rsidRDefault="0008309D" w:rsidP="0008309D">
      <w:pPr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  <w:b/>
        </w:rPr>
        <w:t xml:space="preserve">Rita Gomes </w:t>
      </w:r>
      <w:proofErr w:type="gramStart"/>
      <w:r w:rsidRPr="00A46C95">
        <w:rPr>
          <w:rFonts w:asciiTheme="minorHAnsi" w:hAnsiTheme="minorHAnsi" w:cstheme="minorHAnsi"/>
          <w:b/>
        </w:rPr>
        <w:t xml:space="preserve">Lopes  </w:t>
      </w:r>
      <w:r w:rsidRPr="00A46C95">
        <w:rPr>
          <w:rFonts w:asciiTheme="minorHAnsi" w:hAnsiTheme="minorHAnsi" w:cstheme="minorHAnsi"/>
        </w:rPr>
        <w:tab/>
      </w:r>
      <w:proofErr w:type="gramEnd"/>
      <w:r w:rsidRPr="00A46C95">
        <w:rPr>
          <w:rFonts w:asciiTheme="minorHAnsi" w:hAnsiTheme="minorHAnsi" w:cstheme="minorHAnsi"/>
        </w:rPr>
        <w:t xml:space="preserve">                                         __________________________________                            </w:t>
      </w:r>
    </w:p>
    <w:p w14:paraId="7A2B8B97" w14:textId="77777777" w:rsidR="0008309D" w:rsidRPr="00A46C95" w:rsidRDefault="0008309D" w:rsidP="0008309D">
      <w:pPr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</w:rPr>
        <w:t xml:space="preserve">Assessoria COA-CAU/MG            </w:t>
      </w:r>
    </w:p>
    <w:p w14:paraId="59AB800A" w14:textId="26C9804E" w:rsidR="00BA40B0" w:rsidRPr="00A46C95" w:rsidRDefault="00F54A56" w:rsidP="00F055BF">
      <w:pPr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</w:rPr>
        <w:lastRenderedPageBreak/>
        <w:t xml:space="preserve"> </w:t>
      </w:r>
    </w:p>
    <w:sectPr w:rsidR="00BA40B0" w:rsidRPr="00A46C95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8DFC6" w14:textId="77777777" w:rsidR="0078183F" w:rsidRDefault="0078183F" w:rsidP="00EE4FDD">
      <w:r>
        <w:separator/>
      </w:r>
    </w:p>
  </w:endnote>
  <w:endnote w:type="continuationSeparator" w:id="0">
    <w:p w14:paraId="2CE35668" w14:textId="77777777" w:rsidR="0078183F" w:rsidRDefault="0078183F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A54F7" w14:textId="77777777"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4A2D13" wp14:editId="43AFF244">
          <wp:simplePos x="0" y="0"/>
          <wp:positionH relativeFrom="column">
            <wp:posOffset>-916940</wp:posOffset>
          </wp:positionH>
          <wp:positionV relativeFrom="paragraph">
            <wp:posOffset>136525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DE505D">
      <w:rPr>
        <w:b/>
        <w:bCs/>
        <w:noProof/>
      </w:rPr>
      <w:t>4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DE505D">
      <w:rPr>
        <w:b/>
        <w:bCs/>
        <w:noProof/>
      </w:rPr>
      <w:t>4</w:t>
    </w:r>
    <w:r w:rsidR="007D3492">
      <w:rPr>
        <w:b/>
        <w:bCs/>
      </w:rPr>
      <w:fldChar w:fldCharType="end"/>
    </w:r>
  </w:p>
  <w:p w14:paraId="678A88B8" w14:textId="77777777"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32420" w14:textId="77777777" w:rsidR="0078183F" w:rsidRDefault="0078183F" w:rsidP="00EE4FDD">
      <w:r>
        <w:separator/>
      </w:r>
    </w:p>
  </w:footnote>
  <w:footnote w:type="continuationSeparator" w:id="0">
    <w:p w14:paraId="212F6C02" w14:textId="77777777" w:rsidR="0078183F" w:rsidRDefault="0078183F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4DDD" w14:textId="77777777" w:rsidR="007D3492" w:rsidRDefault="00DE505D">
    <w:pPr>
      <w:pStyle w:val="Cabealho"/>
    </w:pPr>
    <w:r>
      <w:rPr>
        <w:noProof/>
        <w:lang w:val="en-US"/>
      </w:rPr>
      <w:pict w14:anchorId="03637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C54E4" w14:textId="77777777"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A8481AA" wp14:editId="686F0CC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A8251" w14:textId="77777777" w:rsidR="007D3492" w:rsidRDefault="00DE505D">
    <w:pPr>
      <w:pStyle w:val="Cabealho"/>
    </w:pPr>
    <w:r>
      <w:rPr>
        <w:noProof/>
        <w:lang w:val="en-US"/>
      </w:rPr>
      <w:pict w14:anchorId="4FEDF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0D4"/>
    <w:multiLevelType w:val="hybridMultilevel"/>
    <w:tmpl w:val="AEC2D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06F1"/>
    <w:multiLevelType w:val="hybridMultilevel"/>
    <w:tmpl w:val="F3908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592F"/>
    <w:multiLevelType w:val="hybridMultilevel"/>
    <w:tmpl w:val="EBA247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7F1D"/>
    <w:multiLevelType w:val="hybridMultilevel"/>
    <w:tmpl w:val="0C40717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316C287F"/>
    <w:multiLevelType w:val="hybridMultilevel"/>
    <w:tmpl w:val="92E2539A"/>
    <w:lvl w:ilvl="0" w:tplc="A59CC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A0FDE"/>
    <w:multiLevelType w:val="hybridMultilevel"/>
    <w:tmpl w:val="0C3EF2E2"/>
    <w:lvl w:ilvl="0" w:tplc="A5AAE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9C4277"/>
    <w:multiLevelType w:val="hybridMultilevel"/>
    <w:tmpl w:val="316AF8F4"/>
    <w:lvl w:ilvl="0" w:tplc="60CA94DC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 w15:restartNumberingAfterBreak="0">
    <w:nsid w:val="43FF4096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0413B"/>
    <w:multiLevelType w:val="hybridMultilevel"/>
    <w:tmpl w:val="6602FA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D4220"/>
    <w:multiLevelType w:val="hybridMultilevel"/>
    <w:tmpl w:val="E312BBC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9D61AA"/>
    <w:multiLevelType w:val="hybridMultilevel"/>
    <w:tmpl w:val="72C44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50570"/>
    <w:multiLevelType w:val="multilevel"/>
    <w:tmpl w:val="D3702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09859E3"/>
    <w:multiLevelType w:val="multilevel"/>
    <w:tmpl w:val="6E3ED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8" w15:restartNumberingAfterBreak="0">
    <w:nsid w:val="76D353AE"/>
    <w:multiLevelType w:val="hybridMultilevel"/>
    <w:tmpl w:val="7D386F3E"/>
    <w:lvl w:ilvl="0" w:tplc="7DC0B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3"/>
  </w:num>
  <w:num w:numId="5">
    <w:abstractNumId w:val="2"/>
  </w:num>
  <w:num w:numId="6">
    <w:abstractNumId w:val="18"/>
  </w:num>
  <w:num w:numId="7">
    <w:abstractNumId w:val="13"/>
  </w:num>
  <w:num w:numId="8">
    <w:abstractNumId w:val="0"/>
  </w:num>
  <w:num w:numId="9">
    <w:abstractNumId w:val="9"/>
  </w:num>
  <w:num w:numId="10">
    <w:abstractNumId w:val="14"/>
  </w:num>
  <w:num w:numId="11">
    <w:abstractNumId w:val="12"/>
  </w:num>
  <w:num w:numId="12">
    <w:abstractNumId w:val="7"/>
  </w:num>
  <w:num w:numId="13">
    <w:abstractNumId w:val="1"/>
  </w:num>
  <w:num w:numId="14">
    <w:abstractNumId w:val="17"/>
  </w:num>
  <w:num w:numId="15">
    <w:abstractNumId w:val="5"/>
  </w:num>
  <w:num w:numId="16">
    <w:abstractNumId w:val="4"/>
  </w:num>
  <w:num w:numId="17">
    <w:abstractNumId w:val="15"/>
  </w:num>
  <w:num w:numId="18">
    <w:abstractNumId w:val="6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8C3"/>
    <w:rsid w:val="00001F3E"/>
    <w:rsid w:val="00002DC5"/>
    <w:rsid w:val="00002E97"/>
    <w:rsid w:val="00010376"/>
    <w:rsid w:val="00010A9F"/>
    <w:rsid w:val="000139E6"/>
    <w:rsid w:val="00015C7B"/>
    <w:rsid w:val="00016094"/>
    <w:rsid w:val="00016D5A"/>
    <w:rsid w:val="00017619"/>
    <w:rsid w:val="0001772F"/>
    <w:rsid w:val="00020341"/>
    <w:rsid w:val="0002068A"/>
    <w:rsid w:val="000209D7"/>
    <w:rsid w:val="0002108D"/>
    <w:rsid w:val="000218BC"/>
    <w:rsid w:val="00024F52"/>
    <w:rsid w:val="000256FE"/>
    <w:rsid w:val="00025A9C"/>
    <w:rsid w:val="00026215"/>
    <w:rsid w:val="00027770"/>
    <w:rsid w:val="00027A45"/>
    <w:rsid w:val="00027F18"/>
    <w:rsid w:val="00030470"/>
    <w:rsid w:val="00030A41"/>
    <w:rsid w:val="00031142"/>
    <w:rsid w:val="00031DB8"/>
    <w:rsid w:val="000326B6"/>
    <w:rsid w:val="00033D19"/>
    <w:rsid w:val="00034003"/>
    <w:rsid w:val="00034105"/>
    <w:rsid w:val="000349D3"/>
    <w:rsid w:val="00034B81"/>
    <w:rsid w:val="000361E3"/>
    <w:rsid w:val="00037F61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5E52"/>
    <w:rsid w:val="00066A2F"/>
    <w:rsid w:val="00066FC4"/>
    <w:rsid w:val="0007000A"/>
    <w:rsid w:val="000704ED"/>
    <w:rsid w:val="0007153D"/>
    <w:rsid w:val="00071819"/>
    <w:rsid w:val="000720B0"/>
    <w:rsid w:val="00072CC0"/>
    <w:rsid w:val="000735AE"/>
    <w:rsid w:val="000741FF"/>
    <w:rsid w:val="000742BA"/>
    <w:rsid w:val="00074FFA"/>
    <w:rsid w:val="000751BA"/>
    <w:rsid w:val="0007522A"/>
    <w:rsid w:val="000757B7"/>
    <w:rsid w:val="000772E5"/>
    <w:rsid w:val="000775A9"/>
    <w:rsid w:val="00077C53"/>
    <w:rsid w:val="00080A14"/>
    <w:rsid w:val="000819F3"/>
    <w:rsid w:val="00082532"/>
    <w:rsid w:val="0008309D"/>
    <w:rsid w:val="00083B12"/>
    <w:rsid w:val="000844F2"/>
    <w:rsid w:val="000855A7"/>
    <w:rsid w:val="00085C2F"/>
    <w:rsid w:val="000869F3"/>
    <w:rsid w:val="00090858"/>
    <w:rsid w:val="000917C6"/>
    <w:rsid w:val="00092CE0"/>
    <w:rsid w:val="00093587"/>
    <w:rsid w:val="00096E50"/>
    <w:rsid w:val="00097E4F"/>
    <w:rsid w:val="000A03EB"/>
    <w:rsid w:val="000A06E2"/>
    <w:rsid w:val="000A0A66"/>
    <w:rsid w:val="000A2946"/>
    <w:rsid w:val="000A2B2B"/>
    <w:rsid w:val="000A3878"/>
    <w:rsid w:val="000A47E5"/>
    <w:rsid w:val="000A638B"/>
    <w:rsid w:val="000A6FF5"/>
    <w:rsid w:val="000B15EF"/>
    <w:rsid w:val="000B23F6"/>
    <w:rsid w:val="000B29FF"/>
    <w:rsid w:val="000B33B4"/>
    <w:rsid w:val="000B4E21"/>
    <w:rsid w:val="000B5767"/>
    <w:rsid w:val="000B7EF8"/>
    <w:rsid w:val="000C0C0C"/>
    <w:rsid w:val="000C2093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2A7B"/>
    <w:rsid w:val="000D41D0"/>
    <w:rsid w:val="000D6A92"/>
    <w:rsid w:val="000D6F23"/>
    <w:rsid w:val="000D7434"/>
    <w:rsid w:val="000D79D6"/>
    <w:rsid w:val="000D7A3B"/>
    <w:rsid w:val="000E0586"/>
    <w:rsid w:val="000E1DC2"/>
    <w:rsid w:val="000E2CBD"/>
    <w:rsid w:val="000E3A41"/>
    <w:rsid w:val="000E4E80"/>
    <w:rsid w:val="000E54C3"/>
    <w:rsid w:val="000E7151"/>
    <w:rsid w:val="000F18AC"/>
    <w:rsid w:val="000F5A02"/>
    <w:rsid w:val="000F6D7C"/>
    <w:rsid w:val="000F7565"/>
    <w:rsid w:val="001017DE"/>
    <w:rsid w:val="00101C07"/>
    <w:rsid w:val="001020AE"/>
    <w:rsid w:val="001023D9"/>
    <w:rsid w:val="00104BC6"/>
    <w:rsid w:val="00105700"/>
    <w:rsid w:val="001121B9"/>
    <w:rsid w:val="001123BD"/>
    <w:rsid w:val="00113077"/>
    <w:rsid w:val="00113931"/>
    <w:rsid w:val="00113E00"/>
    <w:rsid w:val="0011493D"/>
    <w:rsid w:val="00117498"/>
    <w:rsid w:val="00117D26"/>
    <w:rsid w:val="00123C99"/>
    <w:rsid w:val="0012477A"/>
    <w:rsid w:val="00124A36"/>
    <w:rsid w:val="0012522D"/>
    <w:rsid w:val="00127109"/>
    <w:rsid w:val="001317C6"/>
    <w:rsid w:val="001405A9"/>
    <w:rsid w:val="00140E3D"/>
    <w:rsid w:val="001456B9"/>
    <w:rsid w:val="001462E7"/>
    <w:rsid w:val="00146CBA"/>
    <w:rsid w:val="00147A61"/>
    <w:rsid w:val="001517D2"/>
    <w:rsid w:val="00153C04"/>
    <w:rsid w:val="0015673C"/>
    <w:rsid w:val="00161F55"/>
    <w:rsid w:val="00161F58"/>
    <w:rsid w:val="00162517"/>
    <w:rsid w:val="0016264C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374E"/>
    <w:rsid w:val="00186D79"/>
    <w:rsid w:val="00187337"/>
    <w:rsid w:val="00187E60"/>
    <w:rsid w:val="00190244"/>
    <w:rsid w:val="00190C14"/>
    <w:rsid w:val="00191DC3"/>
    <w:rsid w:val="00192027"/>
    <w:rsid w:val="001923FF"/>
    <w:rsid w:val="00192AFD"/>
    <w:rsid w:val="0019306F"/>
    <w:rsid w:val="00193B10"/>
    <w:rsid w:val="001950E4"/>
    <w:rsid w:val="00195623"/>
    <w:rsid w:val="001A0EDE"/>
    <w:rsid w:val="001A3781"/>
    <w:rsid w:val="001A578C"/>
    <w:rsid w:val="001A6253"/>
    <w:rsid w:val="001A62EE"/>
    <w:rsid w:val="001B11F6"/>
    <w:rsid w:val="001B2518"/>
    <w:rsid w:val="001B2CB7"/>
    <w:rsid w:val="001B30D9"/>
    <w:rsid w:val="001B39D6"/>
    <w:rsid w:val="001B3BED"/>
    <w:rsid w:val="001B4CD3"/>
    <w:rsid w:val="001B5374"/>
    <w:rsid w:val="001B5C3D"/>
    <w:rsid w:val="001B6E62"/>
    <w:rsid w:val="001B70BC"/>
    <w:rsid w:val="001B7A17"/>
    <w:rsid w:val="001C1BE4"/>
    <w:rsid w:val="001C394E"/>
    <w:rsid w:val="001C3B11"/>
    <w:rsid w:val="001C4412"/>
    <w:rsid w:val="001C45BC"/>
    <w:rsid w:val="001D04C2"/>
    <w:rsid w:val="001D0E30"/>
    <w:rsid w:val="001D110A"/>
    <w:rsid w:val="001D3F01"/>
    <w:rsid w:val="001D42BF"/>
    <w:rsid w:val="001D4660"/>
    <w:rsid w:val="001D5695"/>
    <w:rsid w:val="001D616D"/>
    <w:rsid w:val="001D670B"/>
    <w:rsid w:val="001D67C7"/>
    <w:rsid w:val="001E0B40"/>
    <w:rsid w:val="001E1097"/>
    <w:rsid w:val="001E1465"/>
    <w:rsid w:val="001E1A62"/>
    <w:rsid w:val="001E358D"/>
    <w:rsid w:val="001E654E"/>
    <w:rsid w:val="001E682D"/>
    <w:rsid w:val="001E69A8"/>
    <w:rsid w:val="001E6EC7"/>
    <w:rsid w:val="001E789A"/>
    <w:rsid w:val="001F06E3"/>
    <w:rsid w:val="001F3A9B"/>
    <w:rsid w:val="001F410A"/>
    <w:rsid w:val="001F4C2C"/>
    <w:rsid w:val="001F5259"/>
    <w:rsid w:val="001F5DC8"/>
    <w:rsid w:val="001F5E5F"/>
    <w:rsid w:val="001F7320"/>
    <w:rsid w:val="00201425"/>
    <w:rsid w:val="00202545"/>
    <w:rsid w:val="00205EDD"/>
    <w:rsid w:val="002069D8"/>
    <w:rsid w:val="00213202"/>
    <w:rsid w:val="00213555"/>
    <w:rsid w:val="00214558"/>
    <w:rsid w:val="00214DC2"/>
    <w:rsid w:val="00215ED5"/>
    <w:rsid w:val="002169C8"/>
    <w:rsid w:val="002170C3"/>
    <w:rsid w:val="00221B78"/>
    <w:rsid w:val="00222B7C"/>
    <w:rsid w:val="002272F8"/>
    <w:rsid w:val="002316E7"/>
    <w:rsid w:val="00232820"/>
    <w:rsid w:val="002341DD"/>
    <w:rsid w:val="00234C92"/>
    <w:rsid w:val="00234F2C"/>
    <w:rsid w:val="00235070"/>
    <w:rsid w:val="00235451"/>
    <w:rsid w:val="00235896"/>
    <w:rsid w:val="002375B2"/>
    <w:rsid w:val="00240205"/>
    <w:rsid w:val="00240C3D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57C36"/>
    <w:rsid w:val="0026032B"/>
    <w:rsid w:val="00260D1E"/>
    <w:rsid w:val="00262CC1"/>
    <w:rsid w:val="00263523"/>
    <w:rsid w:val="002654CD"/>
    <w:rsid w:val="00265CAE"/>
    <w:rsid w:val="00266580"/>
    <w:rsid w:val="00266686"/>
    <w:rsid w:val="002702AA"/>
    <w:rsid w:val="0027200B"/>
    <w:rsid w:val="00272594"/>
    <w:rsid w:val="00272A2A"/>
    <w:rsid w:val="0027748A"/>
    <w:rsid w:val="00281654"/>
    <w:rsid w:val="0028246E"/>
    <w:rsid w:val="00282E2B"/>
    <w:rsid w:val="00282F1D"/>
    <w:rsid w:val="002839B1"/>
    <w:rsid w:val="002844B9"/>
    <w:rsid w:val="002851E8"/>
    <w:rsid w:val="002853D0"/>
    <w:rsid w:val="0028705D"/>
    <w:rsid w:val="002900DC"/>
    <w:rsid w:val="00290C17"/>
    <w:rsid w:val="00291A7D"/>
    <w:rsid w:val="002929AD"/>
    <w:rsid w:val="00294467"/>
    <w:rsid w:val="0029596A"/>
    <w:rsid w:val="0029636F"/>
    <w:rsid w:val="00296C48"/>
    <w:rsid w:val="002974F3"/>
    <w:rsid w:val="002A03C2"/>
    <w:rsid w:val="002A0727"/>
    <w:rsid w:val="002A3D29"/>
    <w:rsid w:val="002A3F35"/>
    <w:rsid w:val="002A60B1"/>
    <w:rsid w:val="002A7505"/>
    <w:rsid w:val="002B065F"/>
    <w:rsid w:val="002B165B"/>
    <w:rsid w:val="002B5319"/>
    <w:rsid w:val="002B5F35"/>
    <w:rsid w:val="002B7362"/>
    <w:rsid w:val="002B77AC"/>
    <w:rsid w:val="002B7934"/>
    <w:rsid w:val="002B7A02"/>
    <w:rsid w:val="002C06FB"/>
    <w:rsid w:val="002C17FC"/>
    <w:rsid w:val="002C1F28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6449"/>
    <w:rsid w:val="002D7C07"/>
    <w:rsid w:val="002E13E5"/>
    <w:rsid w:val="002E212B"/>
    <w:rsid w:val="002E3120"/>
    <w:rsid w:val="002E33C5"/>
    <w:rsid w:val="002E4181"/>
    <w:rsid w:val="002E5C88"/>
    <w:rsid w:val="002E60CC"/>
    <w:rsid w:val="002E79BF"/>
    <w:rsid w:val="002E79F1"/>
    <w:rsid w:val="002E7B1C"/>
    <w:rsid w:val="002F2D0F"/>
    <w:rsid w:val="002F3386"/>
    <w:rsid w:val="002F3940"/>
    <w:rsid w:val="002F5348"/>
    <w:rsid w:val="002F6054"/>
    <w:rsid w:val="002F66AB"/>
    <w:rsid w:val="002F6B88"/>
    <w:rsid w:val="002F7D25"/>
    <w:rsid w:val="003020FC"/>
    <w:rsid w:val="00303A23"/>
    <w:rsid w:val="00303B5A"/>
    <w:rsid w:val="00304145"/>
    <w:rsid w:val="003045EF"/>
    <w:rsid w:val="003045F8"/>
    <w:rsid w:val="00305002"/>
    <w:rsid w:val="00305178"/>
    <w:rsid w:val="00305A19"/>
    <w:rsid w:val="003076A3"/>
    <w:rsid w:val="003078FD"/>
    <w:rsid w:val="00307CD2"/>
    <w:rsid w:val="00310BB2"/>
    <w:rsid w:val="00310F75"/>
    <w:rsid w:val="003122D3"/>
    <w:rsid w:val="00312530"/>
    <w:rsid w:val="00313CB3"/>
    <w:rsid w:val="0031569F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1E90"/>
    <w:rsid w:val="0033242E"/>
    <w:rsid w:val="003325EF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2A0C"/>
    <w:rsid w:val="00353DD7"/>
    <w:rsid w:val="00354AC9"/>
    <w:rsid w:val="003554C1"/>
    <w:rsid w:val="00357034"/>
    <w:rsid w:val="0036011B"/>
    <w:rsid w:val="00360453"/>
    <w:rsid w:val="00360BCB"/>
    <w:rsid w:val="0036275D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775CD"/>
    <w:rsid w:val="003809EA"/>
    <w:rsid w:val="003824DF"/>
    <w:rsid w:val="003831AC"/>
    <w:rsid w:val="0038473E"/>
    <w:rsid w:val="00385490"/>
    <w:rsid w:val="00391138"/>
    <w:rsid w:val="00392537"/>
    <w:rsid w:val="00393029"/>
    <w:rsid w:val="00395128"/>
    <w:rsid w:val="00396127"/>
    <w:rsid w:val="003967E7"/>
    <w:rsid w:val="00396D05"/>
    <w:rsid w:val="00396ED1"/>
    <w:rsid w:val="00397343"/>
    <w:rsid w:val="003A007E"/>
    <w:rsid w:val="003A35F9"/>
    <w:rsid w:val="003A384A"/>
    <w:rsid w:val="003A3C1D"/>
    <w:rsid w:val="003A5B30"/>
    <w:rsid w:val="003A6C04"/>
    <w:rsid w:val="003A7323"/>
    <w:rsid w:val="003B04BC"/>
    <w:rsid w:val="003B0604"/>
    <w:rsid w:val="003B08FA"/>
    <w:rsid w:val="003B1BBD"/>
    <w:rsid w:val="003B47D4"/>
    <w:rsid w:val="003B4E32"/>
    <w:rsid w:val="003B5E82"/>
    <w:rsid w:val="003B67A5"/>
    <w:rsid w:val="003C0738"/>
    <w:rsid w:val="003C10D8"/>
    <w:rsid w:val="003C2F04"/>
    <w:rsid w:val="003C3D48"/>
    <w:rsid w:val="003C4950"/>
    <w:rsid w:val="003C6CD5"/>
    <w:rsid w:val="003C772A"/>
    <w:rsid w:val="003C7DEE"/>
    <w:rsid w:val="003D0C9E"/>
    <w:rsid w:val="003D2C0D"/>
    <w:rsid w:val="003D433A"/>
    <w:rsid w:val="003D4A37"/>
    <w:rsid w:val="003D7B19"/>
    <w:rsid w:val="003E07BF"/>
    <w:rsid w:val="003E2C86"/>
    <w:rsid w:val="003E4694"/>
    <w:rsid w:val="003E62C3"/>
    <w:rsid w:val="003E79BF"/>
    <w:rsid w:val="003E7B44"/>
    <w:rsid w:val="003F0FD2"/>
    <w:rsid w:val="003F18B9"/>
    <w:rsid w:val="003F33E6"/>
    <w:rsid w:val="003F398C"/>
    <w:rsid w:val="003F662C"/>
    <w:rsid w:val="003F68A8"/>
    <w:rsid w:val="003F72A6"/>
    <w:rsid w:val="003F7368"/>
    <w:rsid w:val="00401AE2"/>
    <w:rsid w:val="00401FBA"/>
    <w:rsid w:val="00403343"/>
    <w:rsid w:val="0040496E"/>
    <w:rsid w:val="004049FE"/>
    <w:rsid w:val="00404BCD"/>
    <w:rsid w:val="004054AD"/>
    <w:rsid w:val="00406030"/>
    <w:rsid w:val="0040754F"/>
    <w:rsid w:val="00407C25"/>
    <w:rsid w:val="00407E44"/>
    <w:rsid w:val="00410F49"/>
    <w:rsid w:val="00410F61"/>
    <w:rsid w:val="00411056"/>
    <w:rsid w:val="0041124C"/>
    <w:rsid w:val="004112EF"/>
    <w:rsid w:val="00412031"/>
    <w:rsid w:val="00412913"/>
    <w:rsid w:val="00412A4E"/>
    <w:rsid w:val="004131C2"/>
    <w:rsid w:val="00413529"/>
    <w:rsid w:val="0041438F"/>
    <w:rsid w:val="004149FA"/>
    <w:rsid w:val="0041552B"/>
    <w:rsid w:val="00416E02"/>
    <w:rsid w:val="004213A9"/>
    <w:rsid w:val="00421D1D"/>
    <w:rsid w:val="004234CA"/>
    <w:rsid w:val="00423D98"/>
    <w:rsid w:val="00423EE0"/>
    <w:rsid w:val="0042456E"/>
    <w:rsid w:val="00432604"/>
    <w:rsid w:val="00432D99"/>
    <w:rsid w:val="004336D4"/>
    <w:rsid w:val="0043409D"/>
    <w:rsid w:val="0043616F"/>
    <w:rsid w:val="00436FD6"/>
    <w:rsid w:val="00437489"/>
    <w:rsid w:val="00437655"/>
    <w:rsid w:val="0044107F"/>
    <w:rsid w:val="004417DB"/>
    <w:rsid w:val="00442909"/>
    <w:rsid w:val="004431C6"/>
    <w:rsid w:val="00443BFB"/>
    <w:rsid w:val="00446D0D"/>
    <w:rsid w:val="00446F75"/>
    <w:rsid w:val="0044756A"/>
    <w:rsid w:val="004507F7"/>
    <w:rsid w:val="00452C5B"/>
    <w:rsid w:val="004538C9"/>
    <w:rsid w:val="00453CDF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9B"/>
    <w:rsid w:val="00481DCA"/>
    <w:rsid w:val="00481E02"/>
    <w:rsid w:val="0048260F"/>
    <w:rsid w:val="00483E68"/>
    <w:rsid w:val="00484437"/>
    <w:rsid w:val="004844B3"/>
    <w:rsid w:val="00484BD6"/>
    <w:rsid w:val="00485870"/>
    <w:rsid w:val="004862F4"/>
    <w:rsid w:val="004873D4"/>
    <w:rsid w:val="00494E7C"/>
    <w:rsid w:val="00497106"/>
    <w:rsid w:val="00497797"/>
    <w:rsid w:val="004A1F85"/>
    <w:rsid w:val="004A34D2"/>
    <w:rsid w:val="004A511C"/>
    <w:rsid w:val="004B0ABD"/>
    <w:rsid w:val="004B1CD9"/>
    <w:rsid w:val="004B418F"/>
    <w:rsid w:val="004B536F"/>
    <w:rsid w:val="004B57B5"/>
    <w:rsid w:val="004B75F8"/>
    <w:rsid w:val="004C1B10"/>
    <w:rsid w:val="004C2570"/>
    <w:rsid w:val="004C5787"/>
    <w:rsid w:val="004D01CE"/>
    <w:rsid w:val="004D257A"/>
    <w:rsid w:val="004D3200"/>
    <w:rsid w:val="004D38BE"/>
    <w:rsid w:val="004D5612"/>
    <w:rsid w:val="004D6520"/>
    <w:rsid w:val="004D697C"/>
    <w:rsid w:val="004D77A2"/>
    <w:rsid w:val="004E0FFB"/>
    <w:rsid w:val="004E4B71"/>
    <w:rsid w:val="004E6FDD"/>
    <w:rsid w:val="004F0236"/>
    <w:rsid w:val="004F3448"/>
    <w:rsid w:val="004F3C87"/>
    <w:rsid w:val="004F5A05"/>
    <w:rsid w:val="004F67B2"/>
    <w:rsid w:val="0050106E"/>
    <w:rsid w:val="0050434D"/>
    <w:rsid w:val="005043A8"/>
    <w:rsid w:val="00504B5A"/>
    <w:rsid w:val="005075D6"/>
    <w:rsid w:val="005125D4"/>
    <w:rsid w:val="00512BC6"/>
    <w:rsid w:val="00514135"/>
    <w:rsid w:val="00520DEB"/>
    <w:rsid w:val="0052151C"/>
    <w:rsid w:val="005241D3"/>
    <w:rsid w:val="0052500F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5CC7"/>
    <w:rsid w:val="0054662D"/>
    <w:rsid w:val="00546AEE"/>
    <w:rsid w:val="00546D23"/>
    <w:rsid w:val="0055182C"/>
    <w:rsid w:val="00554CB3"/>
    <w:rsid w:val="005608DF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675"/>
    <w:rsid w:val="00572864"/>
    <w:rsid w:val="005729E0"/>
    <w:rsid w:val="00573332"/>
    <w:rsid w:val="00574A92"/>
    <w:rsid w:val="00575660"/>
    <w:rsid w:val="00580A2D"/>
    <w:rsid w:val="00581923"/>
    <w:rsid w:val="00582155"/>
    <w:rsid w:val="005821C3"/>
    <w:rsid w:val="005824E4"/>
    <w:rsid w:val="00582987"/>
    <w:rsid w:val="00583186"/>
    <w:rsid w:val="00583F47"/>
    <w:rsid w:val="00590680"/>
    <w:rsid w:val="00593F65"/>
    <w:rsid w:val="005959F8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0BDC"/>
    <w:rsid w:val="005C1002"/>
    <w:rsid w:val="005C25FF"/>
    <w:rsid w:val="005C3EF8"/>
    <w:rsid w:val="005C42B7"/>
    <w:rsid w:val="005C4AE3"/>
    <w:rsid w:val="005C5C66"/>
    <w:rsid w:val="005C7F40"/>
    <w:rsid w:val="005D02A2"/>
    <w:rsid w:val="005D189B"/>
    <w:rsid w:val="005D2EAE"/>
    <w:rsid w:val="005E0A31"/>
    <w:rsid w:val="005E344A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5F7074"/>
    <w:rsid w:val="0060326D"/>
    <w:rsid w:val="00603917"/>
    <w:rsid w:val="0060412A"/>
    <w:rsid w:val="00604B5B"/>
    <w:rsid w:val="0060614B"/>
    <w:rsid w:val="00606F7B"/>
    <w:rsid w:val="00607A65"/>
    <w:rsid w:val="00607BB1"/>
    <w:rsid w:val="00610029"/>
    <w:rsid w:val="00612252"/>
    <w:rsid w:val="00614281"/>
    <w:rsid w:val="00614571"/>
    <w:rsid w:val="0061544F"/>
    <w:rsid w:val="00615759"/>
    <w:rsid w:val="006169B1"/>
    <w:rsid w:val="00620D49"/>
    <w:rsid w:val="00622800"/>
    <w:rsid w:val="00626748"/>
    <w:rsid w:val="00633E4B"/>
    <w:rsid w:val="0063510E"/>
    <w:rsid w:val="00637323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57A1F"/>
    <w:rsid w:val="00663129"/>
    <w:rsid w:val="0066576C"/>
    <w:rsid w:val="006705AB"/>
    <w:rsid w:val="006712FB"/>
    <w:rsid w:val="00673FFB"/>
    <w:rsid w:val="006742DA"/>
    <w:rsid w:val="00675235"/>
    <w:rsid w:val="006765DF"/>
    <w:rsid w:val="00680E51"/>
    <w:rsid w:val="0068366E"/>
    <w:rsid w:val="006838F7"/>
    <w:rsid w:val="00685A07"/>
    <w:rsid w:val="006865EC"/>
    <w:rsid w:val="00690453"/>
    <w:rsid w:val="006913EB"/>
    <w:rsid w:val="00693458"/>
    <w:rsid w:val="00693D5D"/>
    <w:rsid w:val="00695CAE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2F9"/>
    <w:rsid w:val="006C059A"/>
    <w:rsid w:val="006C18BF"/>
    <w:rsid w:val="006C3C3C"/>
    <w:rsid w:val="006C640E"/>
    <w:rsid w:val="006C70B2"/>
    <w:rsid w:val="006C7526"/>
    <w:rsid w:val="006D008B"/>
    <w:rsid w:val="006D199C"/>
    <w:rsid w:val="006D1F9E"/>
    <w:rsid w:val="006D1FB8"/>
    <w:rsid w:val="006D318B"/>
    <w:rsid w:val="006D3610"/>
    <w:rsid w:val="006D422C"/>
    <w:rsid w:val="006D48FF"/>
    <w:rsid w:val="006D4AE0"/>
    <w:rsid w:val="006D5B49"/>
    <w:rsid w:val="006E2F2F"/>
    <w:rsid w:val="006E40E5"/>
    <w:rsid w:val="006E6927"/>
    <w:rsid w:val="006F0A78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831"/>
    <w:rsid w:val="00702FA5"/>
    <w:rsid w:val="00704E8E"/>
    <w:rsid w:val="00705B6A"/>
    <w:rsid w:val="00706800"/>
    <w:rsid w:val="00706FA7"/>
    <w:rsid w:val="00712ED8"/>
    <w:rsid w:val="00713556"/>
    <w:rsid w:val="00713797"/>
    <w:rsid w:val="00716385"/>
    <w:rsid w:val="00717065"/>
    <w:rsid w:val="007224EA"/>
    <w:rsid w:val="00724C5F"/>
    <w:rsid w:val="00726A60"/>
    <w:rsid w:val="00730332"/>
    <w:rsid w:val="0073106F"/>
    <w:rsid w:val="00731CB2"/>
    <w:rsid w:val="007357E1"/>
    <w:rsid w:val="00735FDA"/>
    <w:rsid w:val="007366A8"/>
    <w:rsid w:val="00736EEF"/>
    <w:rsid w:val="007375E7"/>
    <w:rsid w:val="007377B9"/>
    <w:rsid w:val="00737CEA"/>
    <w:rsid w:val="007402B2"/>
    <w:rsid w:val="00740B51"/>
    <w:rsid w:val="007414A4"/>
    <w:rsid w:val="00743283"/>
    <w:rsid w:val="0074599D"/>
    <w:rsid w:val="00745CAB"/>
    <w:rsid w:val="007479F6"/>
    <w:rsid w:val="007503AA"/>
    <w:rsid w:val="00750E7A"/>
    <w:rsid w:val="00750FFB"/>
    <w:rsid w:val="00753535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3418"/>
    <w:rsid w:val="00774492"/>
    <w:rsid w:val="00775F46"/>
    <w:rsid w:val="0078055D"/>
    <w:rsid w:val="007805A7"/>
    <w:rsid w:val="00780F91"/>
    <w:rsid w:val="007816D4"/>
    <w:rsid w:val="00781758"/>
    <w:rsid w:val="0078183F"/>
    <w:rsid w:val="00786457"/>
    <w:rsid w:val="0078687C"/>
    <w:rsid w:val="00787085"/>
    <w:rsid w:val="007927B7"/>
    <w:rsid w:val="00792B17"/>
    <w:rsid w:val="0079524F"/>
    <w:rsid w:val="00797B66"/>
    <w:rsid w:val="007A1261"/>
    <w:rsid w:val="007A16DD"/>
    <w:rsid w:val="007A181F"/>
    <w:rsid w:val="007A1F46"/>
    <w:rsid w:val="007A32F6"/>
    <w:rsid w:val="007A344D"/>
    <w:rsid w:val="007A3F0F"/>
    <w:rsid w:val="007A75E2"/>
    <w:rsid w:val="007A7686"/>
    <w:rsid w:val="007B0879"/>
    <w:rsid w:val="007B1247"/>
    <w:rsid w:val="007B1423"/>
    <w:rsid w:val="007B2310"/>
    <w:rsid w:val="007B2A01"/>
    <w:rsid w:val="007B2A47"/>
    <w:rsid w:val="007B2B0E"/>
    <w:rsid w:val="007B72AA"/>
    <w:rsid w:val="007B7411"/>
    <w:rsid w:val="007B7BE7"/>
    <w:rsid w:val="007C2B21"/>
    <w:rsid w:val="007C4EE9"/>
    <w:rsid w:val="007C765F"/>
    <w:rsid w:val="007C76A8"/>
    <w:rsid w:val="007D1C96"/>
    <w:rsid w:val="007D3492"/>
    <w:rsid w:val="007D3F8C"/>
    <w:rsid w:val="007D4B22"/>
    <w:rsid w:val="007D4DC1"/>
    <w:rsid w:val="007D5835"/>
    <w:rsid w:val="007D6C71"/>
    <w:rsid w:val="007E0D6F"/>
    <w:rsid w:val="007E209E"/>
    <w:rsid w:val="007E2CED"/>
    <w:rsid w:val="007E57E8"/>
    <w:rsid w:val="007E6E3A"/>
    <w:rsid w:val="007E726C"/>
    <w:rsid w:val="007E7449"/>
    <w:rsid w:val="007F0A43"/>
    <w:rsid w:val="007F117F"/>
    <w:rsid w:val="007F2B80"/>
    <w:rsid w:val="007F3EEA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12A52"/>
    <w:rsid w:val="0081327B"/>
    <w:rsid w:val="00821F84"/>
    <w:rsid w:val="00822A88"/>
    <w:rsid w:val="00822FC0"/>
    <w:rsid w:val="0082349F"/>
    <w:rsid w:val="00823B33"/>
    <w:rsid w:val="008249A4"/>
    <w:rsid w:val="0082645C"/>
    <w:rsid w:val="008270FB"/>
    <w:rsid w:val="00827FBE"/>
    <w:rsid w:val="00830FB1"/>
    <w:rsid w:val="008321A5"/>
    <w:rsid w:val="00833542"/>
    <w:rsid w:val="00833768"/>
    <w:rsid w:val="00833C15"/>
    <w:rsid w:val="00833FF2"/>
    <w:rsid w:val="00834606"/>
    <w:rsid w:val="00834E5F"/>
    <w:rsid w:val="0083573E"/>
    <w:rsid w:val="00835788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3ACC"/>
    <w:rsid w:val="008646F4"/>
    <w:rsid w:val="0086505C"/>
    <w:rsid w:val="0086539E"/>
    <w:rsid w:val="00866128"/>
    <w:rsid w:val="008664D4"/>
    <w:rsid w:val="008673BE"/>
    <w:rsid w:val="008728E1"/>
    <w:rsid w:val="0087365E"/>
    <w:rsid w:val="00873CEF"/>
    <w:rsid w:val="00873F25"/>
    <w:rsid w:val="008743D5"/>
    <w:rsid w:val="00874A6D"/>
    <w:rsid w:val="008750CF"/>
    <w:rsid w:val="008752E7"/>
    <w:rsid w:val="00880794"/>
    <w:rsid w:val="00880C19"/>
    <w:rsid w:val="0088112A"/>
    <w:rsid w:val="008831E2"/>
    <w:rsid w:val="00883C9C"/>
    <w:rsid w:val="00884487"/>
    <w:rsid w:val="0088532E"/>
    <w:rsid w:val="00885B1F"/>
    <w:rsid w:val="0088629A"/>
    <w:rsid w:val="00893386"/>
    <w:rsid w:val="008949E6"/>
    <w:rsid w:val="00896049"/>
    <w:rsid w:val="00896DA0"/>
    <w:rsid w:val="008979B9"/>
    <w:rsid w:val="008A066C"/>
    <w:rsid w:val="008A0A26"/>
    <w:rsid w:val="008A0AD9"/>
    <w:rsid w:val="008A23D5"/>
    <w:rsid w:val="008A5436"/>
    <w:rsid w:val="008A5C72"/>
    <w:rsid w:val="008A6E1B"/>
    <w:rsid w:val="008A7D04"/>
    <w:rsid w:val="008B00DF"/>
    <w:rsid w:val="008B0BCF"/>
    <w:rsid w:val="008B2CD1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3EE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1777"/>
    <w:rsid w:val="008E208A"/>
    <w:rsid w:val="008E2A6B"/>
    <w:rsid w:val="008E38A3"/>
    <w:rsid w:val="008E5CF6"/>
    <w:rsid w:val="008E6F83"/>
    <w:rsid w:val="008E7115"/>
    <w:rsid w:val="008E7577"/>
    <w:rsid w:val="008F2984"/>
    <w:rsid w:val="008F2B67"/>
    <w:rsid w:val="008F3F4D"/>
    <w:rsid w:val="008F4144"/>
    <w:rsid w:val="008F4316"/>
    <w:rsid w:val="008F6E76"/>
    <w:rsid w:val="009029BB"/>
    <w:rsid w:val="00902B2E"/>
    <w:rsid w:val="00902E47"/>
    <w:rsid w:val="00903C5E"/>
    <w:rsid w:val="0090426C"/>
    <w:rsid w:val="009064B8"/>
    <w:rsid w:val="009068A3"/>
    <w:rsid w:val="009135FC"/>
    <w:rsid w:val="00913B78"/>
    <w:rsid w:val="00914970"/>
    <w:rsid w:val="0091532C"/>
    <w:rsid w:val="00915668"/>
    <w:rsid w:val="00916331"/>
    <w:rsid w:val="00921537"/>
    <w:rsid w:val="00922D9A"/>
    <w:rsid w:val="009235DA"/>
    <w:rsid w:val="00923915"/>
    <w:rsid w:val="0092555B"/>
    <w:rsid w:val="00925B46"/>
    <w:rsid w:val="00925C6C"/>
    <w:rsid w:val="009264A2"/>
    <w:rsid w:val="00926CD7"/>
    <w:rsid w:val="00930B19"/>
    <w:rsid w:val="00931309"/>
    <w:rsid w:val="009318C9"/>
    <w:rsid w:val="00932BCD"/>
    <w:rsid w:val="00935761"/>
    <w:rsid w:val="00937444"/>
    <w:rsid w:val="009401BC"/>
    <w:rsid w:val="00941D36"/>
    <w:rsid w:val="00941DEE"/>
    <w:rsid w:val="009425B8"/>
    <w:rsid w:val="009456CC"/>
    <w:rsid w:val="00952183"/>
    <w:rsid w:val="00957430"/>
    <w:rsid w:val="009577D4"/>
    <w:rsid w:val="009608C0"/>
    <w:rsid w:val="00960E08"/>
    <w:rsid w:val="00967ECB"/>
    <w:rsid w:val="009718DE"/>
    <w:rsid w:val="00973227"/>
    <w:rsid w:val="0097336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1ADA"/>
    <w:rsid w:val="00995AB5"/>
    <w:rsid w:val="00996DAE"/>
    <w:rsid w:val="009973B5"/>
    <w:rsid w:val="009A0F94"/>
    <w:rsid w:val="009A1F4F"/>
    <w:rsid w:val="009A2382"/>
    <w:rsid w:val="009A362E"/>
    <w:rsid w:val="009A3DAE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171"/>
    <w:rsid w:val="009C5F18"/>
    <w:rsid w:val="009C60BD"/>
    <w:rsid w:val="009C613B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17F9C"/>
    <w:rsid w:val="00A2149A"/>
    <w:rsid w:val="00A21B5B"/>
    <w:rsid w:val="00A22A2E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273F8"/>
    <w:rsid w:val="00A31D21"/>
    <w:rsid w:val="00A34067"/>
    <w:rsid w:val="00A4365D"/>
    <w:rsid w:val="00A45C14"/>
    <w:rsid w:val="00A46C95"/>
    <w:rsid w:val="00A47BDF"/>
    <w:rsid w:val="00A52893"/>
    <w:rsid w:val="00A5651F"/>
    <w:rsid w:val="00A6223E"/>
    <w:rsid w:val="00A63393"/>
    <w:rsid w:val="00A643AB"/>
    <w:rsid w:val="00A6634A"/>
    <w:rsid w:val="00A7056B"/>
    <w:rsid w:val="00A70B15"/>
    <w:rsid w:val="00A73051"/>
    <w:rsid w:val="00A730F3"/>
    <w:rsid w:val="00A7392F"/>
    <w:rsid w:val="00A73D17"/>
    <w:rsid w:val="00A762B9"/>
    <w:rsid w:val="00A76523"/>
    <w:rsid w:val="00A76A8A"/>
    <w:rsid w:val="00A76FE6"/>
    <w:rsid w:val="00A77083"/>
    <w:rsid w:val="00A8369B"/>
    <w:rsid w:val="00A84A90"/>
    <w:rsid w:val="00A85341"/>
    <w:rsid w:val="00A86D8F"/>
    <w:rsid w:val="00A873EF"/>
    <w:rsid w:val="00A876BD"/>
    <w:rsid w:val="00A91B77"/>
    <w:rsid w:val="00A92AA8"/>
    <w:rsid w:val="00A92BCB"/>
    <w:rsid w:val="00A94024"/>
    <w:rsid w:val="00A951F2"/>
    <w:rsid w:val="00A9557D"/>
    <w:rsid w:val="00A95871"/>
    <w:rsid w:val="00A96222"/>
    <w:rsid w:val="00A967DA"/>
    <w:rsid w:val="00A97D32"/>
    <w:rsid w:val="00AA0BDE"/>
    <w:rsid w:val="00AA0BE9"/>
    <w:rsid w:val="00AA1124"/>
    <w:rsid w:val="00AA2D1D"/>
    <w:rsid w:val="00AA3E3A"/>
    <w:rsid w:val="00AA4952"/>
    <w:rsid w:val="00AA64BA"/>
    <w:rsid w:val="00AA6611"/>
    <w:rsid w:val="00AA7979"/>
    <w:rsid w:val="00AA7C76"/>
    <w:rsid w:val="00AB16F0"/>
    <w:rsid w:val="00AB1C7E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027C"/>
    <w:rsid w:val="00AD2D1A"/>
    <w:rsid w:val="00AD36E8"/>
    <w:rsid w:val="00AD3E3D"/>
    <w:rsid w:val="00AD51A9"/>
    <w:rsid w:val="00AD7220"/>
    <w:rsid w:val="00AD7AD9"/>
    <w:rsid w:val="00AE213D"/>
    <w:rsid w:val="00AE3F95"/>
    <w:rsid w:val="00AE4158"/>
    <w:rsid w:val="00AE4896"/>
    <w:rsid w:val="00AE4AD8"/>
    <w:rsid w:val="00AE71B9"/>
    <w:rsid w:val="00AF5C0D"/>
    <w:rsid w:val="00AF7797"/>
    <w:rsid w:val="00B01B95"/>
    <w:rsid w:val="00B035A3"/>
    <w:rsid w:val="00B03E5D"/>
    <w:rsid w:val="00B05A50"/>
    <w:rsid w:val="00B05D93"/>
    <w:rsid w:val="00B060AB"/>
    <w:rsid w:val="00B073D6"/>
    <w:rsid w:val="00B07901"/>
    <w:rsid w:val="00B100D5"/>
    <w:rsid w:val="00B10DB7"/>
    <w:rsid w:val="00B1116F"/>
    <w:rsid w:val="00B1188A"/>
    <w:rsid w:val="00B1193D"/>
    <w:rsid w:val="00B11F28"/>
    <w:rsid w:val="00B12FD5"/>
    <w:rsid w:val="00B133FA"/>
    <w:rsid w:val="00B1340C"/>
    <w:rsid w:val="00B1556A"/>
    <w:rsid w:val="00B168AD"/>
    <w:rsid w:val="00B201D3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57FB"/>
    <w:rsid w:val="00B36AE6"/>
    <w:rsid w:val="00B36F78"/>
    <w:rsid w:val="00B37A89"/>
    <w:rsid w:val="00B37F7E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9DD"/>
    <w:rsid w:val="00B71A40"/>
    <w:rsid w:val="00B71E2C"/>
    <w:rsid w:val="00B72BAF"/>
    <w:rsid w:val="00B7319E"/>
    <w:rsid w:val="00B731CB"/>
    <w:rsid w:val="00B7555E"/>
    <w:rsid w:val="00B80938"/>
    <w:rsid w:val="00B82491"/>
    <w:rsid w:val="00B833B7"/>
    <w:rsid w:val="00B83B1F"/>
    <w:rsid w:val="00B83E0C"/>
    <w:rsid w:val="00B8587A"/>
    <w:rsid w:val="00B85EF0"/>
    <w:rsid w:val="00B86AF3"/>
    <w:rsid w:val="00B95EB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B71B4"/>
    <w:rsid w:val="00BB7337"/>
    <w:rsid w:val="00BC0607"/>
    <w:rsid w:val="00BC4A5D"/>
    <w:rsid w:val="00BC530A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3DF0"/>
    <w:rsid w:val="00BE6320"/>
    <w:rsid w:val="00BE6CDA"/>
    <w:rsid w:val="00BE75D0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4BBD"/>
    <w:rsid w:val="00C05140"/>
    <w:rsid w:val="00C07973"/>
    <w:rsid w:val="00C12148"/>
    <w:rsid w:val="00C1293C"/>
    <w:rsid w:val="00C12AF3"/>
    <w:rsid w:val="00C14CAF"/>
    <w:rsid w:val="00C1579D"/>
    <w:rsid w:val="00C16076"/>
    <w:rsid w:val="00C17346"/>
    <w:rsid w:val="00C234C1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0645"/>
    <w:rsid w:val="00C43377"/>
    <w:rsid w:val="00C43977"/>
    <w:rsid w:val="00C46141"/>
    <w:rsid w:val="00C46F66"/>
    <w:rsid w:val="00C53C0B"/>
    <w:rsid w:val="00C54009"/>
    <w:rsid w:val="00C54195"/>
    <w:rsid w:val="00C6142E"/>
    <w:rsid w:val="00C61A9F"/>
    <w:rsid w:val="00C61DA3"/>
    <w:rsid w:val="00C61DB0"/>
    <w:rsid w:val="00C65E1C"/>
    <w:rsid w:val="00C66F77"/>
    <w:rsid w:val="00C67901"/>
    <w:rsid w:val="00C72AE3"/>
    <w:rsid w:val="00C73303"/>
    <w:rsid w:val="00C772F9"/>
    <w:rsid w:val="00C772FB"/>
    <w:rsid w:val="00C7783D"/>
    <w:rsid w:val="00C80896"/>
    <w:rsid w:val="00C80C56"/>
    <w:rsid w:val="00C819B7"/>
    <w:rsid w:val="00C83028"/>
    <w:rsid w:val="00C83D94"/>
    <w:rsid w:val="00C84B01"/>
    <w:rsid w:val="00C85231"/>
    <w:rsid w:val="00C85898"/>
    <w:rsid w:val="00C866D8"/>
    <w:rsid w:val="00C86AE5"/>
    <w:rsid w:val="00C87119"/>
    <w:rsid w:val="00C87789"/>
    <w:rsid w:val="00C91B28"/>
    <w:rsid w:val="00C9291C"/>
    <w:rsid w:val="00C93144"/>
    <w:rsid w:val="00C9492C"/>
    <w:rsid w:val="00C95B8F"/>
    <w:rsid w:val="00CA1D06"/>
    <w:rsid w:val="00CA2675"/>
    <w:rsid w:val="00CA4EEB"/>
    <w:rsid w:val="00CA5187"/>
    <w:rsid w:val="00CA539C"/>
    <w:rsid w:val="00CA565B"/>
    <w:rsid w:val="00CA7D46"/>
    <w:rsid w:val="00CA7E0D"/>
    <w:rsid w:val="00CB0015"/>
    <w:rsid w:val="00CB115D"/>
    <w:rsid w:val="00CB1183"/>
    <w:rsid w:val="00CB1453"/>
    <w:rsid w:val="00CB511F"/>
    <w:rsid w:val="00CB602A"/>
    <w:rsid w:val="00CB6AEC"/>
    <w:rsid w:val="00CB6F4C"/>
    <w:rsid w:val="00CB7B53"/>
    <w:rsid w:val="00CC05AF"/>
    <w:rsid w:val="00CC0CD4"/>
    <w:rsid w:val="00CC0CDE"/>
    <w:rsid w:val="00CC10F2"/>
    <w:rsid w:val="00CC3E1F"/>
    <w:rsid w:val="00CC509F"/>
    <w:rsid w:val="00CC695D"/>
    <w:rsid w:val="00CD25DD"/>
    <w:rsid w:val="00CD39FC"/>
    <w:rsid w:val="00CD5FDD"/>
    <w:rsid w:val="00CD668E"/>
    <w:rsid w:val="00CD79CD"/>
    <w:rsid w:val="00CE03C8"/>
    <w:rsid w:val="00CE2B3B"/>
    <w:rsid w:val="00CE2B9D"/>
    <w:rsid w:val="00CE3C2F"/>
    <w:rsid w:val="00CE63C6"/>
    <w:rsid w:val="00CE7568"/>
    <w:rsid w:val="00CE771C"/>
    <w:rsid w:val="00CE7C4F"/>
    <w:rsid w:val="00CF0519"/>
    <w:rsid w:val="00CF077B"/>
    <w:rsid w:val="00CF41C0"/>
    <w:rsid w:val="00CF5226"/>
    <w:rsid w:val="00CF63D2"/>
    <w:rsid w:val="00CF69F8"/>
    <w:rsid w:val="00CF7F12"/>
    <w:rsid w:val="00D0192D"/>
    <w:rsid w:val="00D02C19"/>
    <w:rsid w:val="00D052E8"/>
    <w:rsid w:val="00D055C4"/>
    <w:rsid w:val="00D07B5B"/>
    <w:rsid w:val="00D07FDE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0207"/>
    <w:rsid w:val="00D41091"/>
    <w:rsid w:val="00D43CD4"/>
    <w:rsid w:val="00D44876"/>
    <w:rsid w:val="00D460CF"/>
    <w:rsid w:val="00D47604"/>
    <w:rsid w:val="00D515C7"/>
    <w:rsid w:val="00D516DD"/>
    <w:rsid w:val="00D51A83"/>
    <w:rsid w:val="00D51BFE"/>
    <w:rsid w:val="00D53D0D"/>
    <w:rsid w:val="00D57A78"/>
    <w:rsid w:val="00D62082"/>
    <w:rsid w:val="00D62903"/>
    <w:rsid w:val="00D63392"/>
    <w:rsid w:val="00D664FE"/>
    <w:rsid w:val="00D66CB1"/>
    <w:rsid w:val="00D719C3"/>
    <w:rsid w:val="00D7267A"/>
    <w:rsid w:val="00D7275C"/>
    <w:rsid w:val="00D81ED9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434F"/>
    <w:rsid w:val="00D9553C"/>
    <w:rsid w:val="00D961B6"/>
    <w:rsid w:val="00D969CC"/>
    <w:rsid w:val="00D96C9D"/>
    <w:rsid w:val="00DA017C"/>
    <w:rsid w:val="00DA099E"/>
    <w:rsid w:val="00DA0E51"/>
    <w:rsid w:val="00DA12B9"/>
    <w:rsid w:val="00DA2793"/>
    <w:rsid w:val="00DA283C"/>
    <w:rsid w:val="00DA2C9C"/>
    <w:rsid w:val="00DA30A5"/>
    <w:rsid w:val="00DA7ACF"/>
    <w:rsid w:val="00DB06E6"/>
    <w:rsid w:val="00DB08B0"/>
    <w:rsid w:val="00DB238A"/>
    <w:rsid w:val="00DB2D4E"/>
    <w:rsid w:val="00DB386A"/>
    <w:rsid w:val="00DB6781"/>
    <w:rsid w:val="00DB6B78"/>
    <w:rsid w:val="00DC0FAA"/>
    <w:rsid w:val="00DC3C39"/>
    <w:rsid w:val="00DC3E1B"/>
    <w:rsid w:val="00DC4445"/>
    <w:rsid w:val="00DC4D6B"/>
    <w:rsid w:val="00DC4D7E"/>
    <w:rsid w:val="00DC786C"/>
    <w:rsid w:val="00DC7A71"/>
    <w:rsid w:val="00DD0515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D78C7"/>
    <w:rsid w:val="00DE0DC0"/>
    <w:rsid w:val="00DE10C6"/>
    <w:rsid w:val="00DE1CA1"/>
    <w:rsid w:val="00DE220B"/>
    <w:rsid w:val="00DE3048"/>
    <w:rsid w:val="00DE40B4"/>
    <w:rsid w:val="00DE505D"/>
    <w:rsid w:val="00DE54ED"/>
    <w:rsid w:val="00DE6134"/>
    <w:rsid w:val="00DE63E3"/>
    <w:rsid w:val="00DE77BE"/>
    <w:rsid w:val="00DF0CB3"/>
    <w:rsid w:val="00DF11DF"/>
    <w:rsid w:val="00DF1B36"/>
    <w:rsid w:val="00DF425D"/>
    <w:rsid w:val="00DF5680"/>
    <w:rsid w:val="00DF7E89"/>
    <w:rsid w:val="00E00FF4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37A0"/>
    <w:rsid w:val="00E35BFF"/>
    <w:rsid w:val="00E362BE"/>
    <w:rsid w:val="00E40073"/>
    <w:rsid w:val="00E406C7"/>
    <w:rsid w:val="00E4082E"/>
    <w:rsid w:val="00E4091E"/>
    <w:rsid w:val="00E40B96"/>
    <w:rsid w:val="00E412DA"/>
    <w:rsid w:val="00E426F9"/>
    <w:rsid w:val="00E42EAD"/>
    <w:rsid w:val="00E432AC"/>
    <w:rsid w:val="00E43FB4"/>
    <w:rsid w:val="00E44B7F"/>
    <w:rsid w:val="00E456D2"/>
    <w:rsid w:val="00E45B54"/>
    <w:rsid w:val="00E51645"/>
    <w:rsid w:val="00E52D3A"/>
    <w:rsid w:val="00E54629"/>
    <w:rsid w:val="00E55B34"/>
    <w:rsid w:val="00E61BD7"/>
    <w:rsid w:val="00E621A0"/>
    <w:rsid w:val="00E621DA"/>
    <w:rsid w:val="00E6345F"/>
    <w:rsid w:val="00E63E4D"/>
    <w:rsid w:val="00E64C5A"/>
    <w:rsid w:val="00E65541"/>
    <w:rsid w:val="00E66154"/>
    <w:rsid w:val="00E67336"/>
    <w:rsid w:val="00E678A9"/>
    <w:rsid w:val="00E70932"/>
    <w:rsid w:val="00E70BD5"/>
    <w:rsid w:val="00E7114C"/>
    <w:rsid w:val="00E719C6"/>
    <w:rsid w:val="00E729D6"/>
    <w:rsid w:val="00E73048"/>
    <w:rsid w:val="00E73363"/>
    <w:rsid w:val="00E75C95"/>
    <w:rsid w:val="00E81F31"/>
    <w:rsid w:val="00E84168"/>
    <w:rsid w:val="00E85384"/>
    <w:rsid w:val="00E86794"/>
    <w:rsid w:val="00E86FB3"/>
    <w:rsid w:val="00E87A15"/>
    <w:rsid w:val="00E87F3A"/>
    <w:rsid w:val="00E938DF"/>
    <w:rsid w:val="00E939FC"/>
    <w:rsid w:val="00E9480E"/>
    <w:rsid w:val="00E95113"/>
    <w:rsid w:val="00E958D8"/>
    <w:rsid w:val="00E960B2"/>
    <w:rsid w:val="00E96CBF"/>
    <w:rsid w:val="00E96EFA"/>
    <w:rsid w:val="00E977ED"/>
    <w:rsid w:val="00EA01C3"/>
    <w:rsid w:val="00EA0EAE"/>
    <w:rsid w:val="00EA1483"/>
    <w:rsid w:val="00EA3F66"/>
    <w:rsid w:val="00EA5405"/>
    <w:rsid w:val="00EA6E55"/>
    <w:rsid w:val="00EA761D"/>
    <w:rsid w:val="00EA7D2B"/>
    <w:rsid w:val="00EB014C"/>
    <w:rsid w:val="00EB0C82"/>
    <w:rsid w:val="00EB16BD"/>
    <w:rsid w:val="00EB20DD"/>
    <w:rsid w:val="00EB2AD7"/>
    <w:rsid w:val="00EB5C45"/>
    <w:rsid w:val="00EB5D91"/>
    <w:rsid w:val="00EB60D3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1B28"/>
    <w:rsid w:val="00EE2F0D"/>
    <w:rsid w:val="00EE3104"/>
    <w:rsid w:val="00EE4FDD"/>
    <w:rsid w:val="00EE53BE"/>
    <w:rsid w:val="00EE5606"/>
    <w:rsid w:val="00EE5D5A"/>
    <w:rsid w:val="00EE6945"/>
    <w:rsid w:val="00EE6B12"/>
    <w:rsid w:val="00EE7A4E"/>
    <w:rsid w:val="00EF015D"/>
    <w:rsid w:val="00EF0CC6"/>
    <w:rsid w:val="00EF1102"/>
    <w:rsid w:val="00EF38E9"/>
    <w:rsid w:val="00EF4D61"/>
    <w:rsid w:val="00EF63A8"/>
    <w:rsid w:val="00EF6457"/>
    <w:rsid w:val="00EF7CAD"/>
    <w:rsid w:val="00F00FE5"/>
    <w:rsid w:val="00F016FE"/>
    <w:rsid w:val="00F01E88"/>
    <w:rsid w:val="00F02A1D"/>
    <w:rsid w:val="00F0370F"/>
    <w:rsid w:val="00F055BF"/>
    <w:rsid w:val="00F06C9C"/>
    <w:rsid w:val="00F07522"/>
    <w:rsid w:val="00F07AED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1FA"/>
    <w:rsid w:val="00F26357"/>
    <w:rsid w:val="00F37FCF"/>
    <w:rsid w:val="00F41645"/>
    <w:rsid w:val="00F41881"/>
    <w:rsid w:val="00F4237F"/>
    <w:rsid w:val="00F4579C"/>
    <w:rsid w:val="00F45B70"/>
    <w:rsid w:val="00F465CC"/>
    <w:rsid w:val="00F52433"/>
    <w:rsid w:val="00F53FE6"/>
    <w:rsid w:val="00F54A56"/>
    <w:rsid w:val="00F57035"/>
    <w:rsid w:val="00F57A81"/>
    <w:rsid w:val="00F60567"/>
    <w:rsid w:val="00F6167B"/>
    <w:rsid w:val="00F61D74"/>
    <w:rsid w:val="00F6209B"/>
    <w:rsid w:val="00F6498F"/>
    <w:rsid w:val="00F6610A"/>
    <w:rsid w:val="00F6651D"/>
    <w:rsid w:val="00F70125"/>
    <w:rsid w:val="00F70CBB"/>
    <w:rsid w:val="00F72C29"/>
    <w:rsid w:val="00F734BF"/>
    <w:rsid w:val="00F73F73"/>
    <w:rsid w:val="00F76A94"/>
    <w:rsid w:val="00F81B0B"/>
    <w:rsid w:val="00F81EDE"/>
    <w:rsid w:val="00F82ABD"/>
    <w:rsid w:val="00F83D25"/>
    <w:rsid w:val="00F85ED5"/>
    <w:rsid w:val="00F9328F"/>
    <w:rsid w:val="00F9354A"/>
    <w:rsid w:val="00F953F5"/>
    <w:rsid w:val="00F97156"/>
    <w:rsid w:val="00F9763C"/>
    <w:rsid w:val="00FA118C"/>
    <w:rsid w:val="00FA1F1E"/>
    <w:rsid w:val="00FA3E89"/>
    <w:rsid w:val="00FA6713"/>
    <w:rsid w:val="00FB3DF5"/>
    <w:rsid w:val="00FB5F52"/>
    <w:rsid w:val="00FB6785"/>
    <w:rsid w:val="00FB687C"/>
    <w:rsid w:val="00FB69D0"/>
    <w:rsid w:val="00FB7FD9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0FE4"/>
    <w:rsid w:val="00FE1C43"/>
    <w:rsid w:val="00FE29D6"/>
    <w:rsid w:val="00FE30A0"/>
    <w:rsid w:val="00FE400E"/>
    <w:rsid w:val="00FE41E8"/>
    <w:rsid w:val="00FE54D8"/>
    <w:rsid w:val="00FE559B"/>
    <w:rsid w:val="00FE6FD1"/>
    <w:rsid w:val="00FF00B8"/>
    <w:rsid w:val="00FF219F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4:docId w14:val="6609615E"/>
  <w15:docId w15:val="{526C8258-A778-4A75-9CD7-F23C59B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09D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DC1"/>
    <w:rPr>
      <w:rFonts w:ascii="Times New Roman" w:eastAsia="Calibri" w:hAnsi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97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97B66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CB099-2EAE-4397-A755-0388B273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1604</Words>
  <Characters>8666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Marcus Cesar Martins da Cruz</cp:lastModifiedBy>
  <cp:revision>13</cp:revision>
  <cp:lastPrinted>2020-03-05T12:47:00Z</cp:lastPrinted>
  <dcterms:created xsi:type="dcterms:W3CDTF">2021-08-18T12:47:00Z</dcterms:created>
  <dcterms:modified xsi:type="dcterms:W3CDTF">2021-08-18T16:00:00Z</dcterms:modified>
</cp:coreProperties>
</file>