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800C01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6EE68F36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</w:t>
            </w:r>
            <w:r w:rsidR="00AC7117">
              <w:rPr>
                <w:rFonts w:asciiTheme="majorHAnsi" w:eastAsia="Calibri" w:hAnsiTheme="majorHAnsi" w:cs="Times New Roman"/>
                <w:b/>
                <w:lang w:val="pt-BR"/>
              </w:rPr>
              <w:t>8</w:t>
            </w:r>
            <w:r w:rsidR="00B6071E">
              <w:rPr>
                <w:rFonts w:asciiTheme="majorHAnsi" w:eastAsia="Calibri" w:hAnsiTheme="majorHAnsi" w:cs="Times New Roman"/>
                <w:b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800C01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5F59EF74" w:rsidR="002A57A5" w:rsidRDefault="00B6071E" w:rsidP="00043280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22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novembro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800C01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6D72AAD9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45</w:t>
            </w:r>
            <w:r w:rsidR="007958C6"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12h</w:t>
            </w:r>
            <w:r w:rsidR="0091772A"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08</w:t>
            </w:r>
            <w:r w:rsidR="007958C6" w:rsidRP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1DE731A3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02A26C5D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  <w:r w:rsidR="0032294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142623E8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Adjunto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78F1E921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0F4B7081" w14:textId="58ABACA5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C27ABAD" w14:textId="0F50F25D" w:rsidR="00074F63" w:rsidRPr="00B37AF7" w:rsidRDefault="00F8363E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78D3EC84" w:rsidR="00074F63" w:rsidRPr="00B37AF7" w:rsidRDefault="00131AD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Decina</w:t>
            </w:r>
            <w:proofErr w:type="spellEnd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Arantes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0B24B8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14465B27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Tadeu Araújo Santos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7020B29B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Técnico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3C993547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C1527D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13A7FD03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09h45</w:t>
            </w: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F70BB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estando presentes os Conselheiros </w:t>
            </w:r>
            <w:r w:rsidR="001F70BB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Fábio Almeida Vieira, Lucas Lima Leonel Fonseca, Ademir Nogueira de Ávila</w:t>
            </w:r>
            <w:r w:rsidR="007326CF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. Os conselheiros Felipe </w:t>
            </w:r>
            <w:proofErr w:type="spellStart"/>
            <w:r w:rsidR="007326CF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Colmanetti</w:t>
            </w:r>
            <w:proofErr w:type="spellEnd"/>
            <w:r w:rsidR="007326CF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 Moura e Rafael </w:t>
            </w:r>
            <w:proofErr w:type="spellStart"/>
            <w:r w:rsidR="007326CF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Decina</w:t>
            </w:r>
            <w:proofErr w:type="spellEnd"/>
            <w:r w:rsidR="007326CF"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 Arantes ingressaram posteriormente na reunião virtual.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674F52AB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183/2021, de 18 de outubro de 2021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A3E3E77" w14:textId="77777777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Foram aprovados os documentos produzidos na reunião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ordinária do mês anterior,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disponibilizados antecipadamente, por mensagem eletrônica,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para apreciação,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quais sejam: Súmula da Reunião n° 183/2021; Deliberações CEP-CAU/MG n° 183.2.1, 183.2.2 e 183.4.1.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Todos os documentos foram aprovados sem alterações.</w:t>
            </w:r>
          </w:p>
          <w:p w14:paraId="3FF38B2F" w14:textId="7DDCC9FF" w:rsidR="007326CF" w:rsidRPr="00DA4678" w:rsidRDefault="007326CF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B7825" w:rsidRPr="00800C01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965D9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965D9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7CCE032A" w:rsidR="00043280" w:rsidRPr="00823223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6590E9C" w14:textId="4E6ACFF8" w:rsidR="00043280" w:rsidRPr="00823223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0A11762" w14:textId="6952F61F" w:rsidR="00043280" w:rsidRPr="00823223" w:rsidRDefault="00965D92" w:rsidP="00965D9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do PROTOCOLO 1394841/2021, referente a solicitação da CAT-A </w:t>
            </w:r>
            <w:hyperlink r:id="rId8" w:tgtFrame="_blank" w:history="1">
              <w:r w:rsidRPr="00823223">
                <w:rPr>
                  <w:rFonts w:asciiTheme="majorHAnsi" w:hAnsiTheme="majorHAnsi"/>
                  <w:sz w:val="20"/>
                  <w:szCs w:val="20"/>
                  <w:lang w:val="pt-BR"/>
                </w:rPr>
                <w:t>690987/202</w:t>
              </w:r>
            </w:hyperlink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1 para análise da Comissão de Exercício Profissional do CAU/MG.</w:t>
            </w:r>
          </w:p>
          <w:p w14:paraId="08319BA7" w14:textId="55369F42" w:rsidR="00965D92" w:rsidRPr="00823223" w:rsidRDefault="00965D92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2B888430" w14:textId="61C147BF" w:rsidR="00965D92" w:rsidRPr="00823223" w:rsidRDefault="00965D92" w:rsidP="00965D9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DCD-CAU/MG n° 154.3.6/2021, remetida por meio do Protocolo SICCAU n° 1400860/2021, que trata sobre coordenação de atividades ligadas ao patrimônio.</w:t>
            </w:r>
          </w:p>
          <w:p w14:paraId="50865B1A" w14:textId="2EB8F23B" w:rsidR="00043280" w:rsidRPr="00823223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4FF46323" w:rsidR="00043280" w:rsidRPr="00965D92" w:rsidRDefault="00965D92" w:rsidP="00965D9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DCD-CAU/MG n° 154.3.6/2021, remetida por meio do Protocolo SICCAU n° 1400860/2021, que trata sobre coordenação de atividades ligadas ao patrimônio.</w:t>
            </w:r>
          </w:p>
        </w:tc>
      </w:tr>
      <w:tr w:rsidR="00BB7825" w:rsidRPr="00800C01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4E385C94" w14:textId="77777777" w:rsid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3447028" w14:textId="77777777" w:rsidR="00965D92" w:rsidRPr="00965D92" w:rsidRDefault="00965D92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>Fiscalização: informar sobre o início da fiscalização dos docentes das instituições de ensino público;</w:t>
            </w:r>
          </w:p>
          <w:p w14:paraId="216C1375" w14:textId="0D1F9E5D" w:rsidR="00965D92" w:rsidRPr="00965D92" w:rsidRDefault="00965D92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>Relato sobre Seminário Temático da CEP-CAU/BR, realizado no dia 16/11/2021.</w:t>
            </w:r>
          </w:p>
        </w:tc>
      </w:tr>
      <w:tr w:rsidR="00BB7825" w:rsidRPr="00800C01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142CBC8C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B949C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12h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08</w:t>
            </w:r>
            <w:r w:rsidRPr="00B949C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800C01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800C01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93A1AD6" w14:textId="77777777" w:rsidR="005202A3" w:rsidRDefault="007326CF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Considerando que não houve encaminhamento de relatórios pelos membros da Comissão, o item foi retirado de pauta.</w:t>
            </w:r>
          </w:p>
          <w:p w14:paraId="77D80C15" w14:textId="6A910A04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800C01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C26159" w14:textId="67AD793D" w:rsidR="00A12223" w:rsidRPr="00A07397" w:rsidRDefault="00A12223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8724F5" w:rsidRPr="00800C01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108ADC69" w:rsidR="00965D92" w:rsidRPr="008724F5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</w:tc>
      </w:tr>
      <w:tr w:rsidR="008724F5" w:rsidRPr="00800C01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800C01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916F78D" w14:textId="35DAA913" w:rsidR="007326CF" w:rsidRDefault="007326CF" w:rsidP="00CF3B21">
            <w:pPr>
              <w:pStyle w:val="PargrafodaLista"/>
              <w:ind w:left="357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Conforme apresentado pelo membro titular, Conselheiro </w:t>
            </w: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, existiam 23 processos já com planilha disponibilizada aguardando distribuição. Tendo em vista os números de processos pendentes de cada membro da Comissão, os 23 processos foram distribuídos conforme listagem abaixo:</w:t>
            </w:r>
          </w:p>
          <w:p w14:paraId="2887121F" w14:textId="503FE3AB" w:rsidR="00800C01" w:rsidRDefault="007F59F4" w:rsidP="007F59F4">
            <w:pPr>
              <w:pStyle w:val="PargrafodaLista"/>
              <w:ind w:left="357"/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</w:pP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Conselheiro Rafael Arantes</w:t>
            </w:r>
            <w:r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, 13 processos, são eles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: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1000019914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1000045694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1000061093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1000083383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1000084567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1000084653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1000085577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1000086689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1000086697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>1000087052</w:t>
            </w:r>
            <w:r>
              <w:rPr>
                <w:rFonts w:ascii="Cambria;serif" w:eastAsia="Calibri" w:hAnsi="Cambria;serif" w:cs="Times New Roman"/>
                <w:color w:val="000000"/>
                <w:sz w:val="18"/>
                <w:szCs w:val="18"/>
                <w:lang w:val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1000087100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1000087182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e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1000087191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;</w:t>
            </w:r>
          </w:p>
          <w:p w14:paraId="419271C1" w14:textId="32364265" w:rsidR="007F59F4" w:rsidRDefault="007F59F4" w:rsidP="003671C4">
            <w:pPr>
              <w:pStyle w:val="PargrafodaLista"/>
              <w:ind w:left="357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;serif" w:eastAsia="Calibri" w:hAnsi="Cambria;serif"/>
                <w:color w:val="000000"/>
                <w:sz w:val="20"/>
                <w:szCs w:val="20"/>
                <w:lang w:val="pt-BR"/>
              </w:rPr>
              <w:t>Conselheiro Ademir Ávila, 10 processos, são eles:</w:t>
            </w:r>
            <w:r w:rsidR="003671C4">
              <w:rPr>
                <w:rFonts w:ascii="Cambria;serif" w:eastAsia="Calibri" w:hAnsi="Cambria;serif"/>
                <w:color w:val="000000"/>
                <w:sz w:val="20"/>
                <w:szCs w:val="20"/>
                <w:lang w:val="pt-BR"/>
              </w:rPr>
              <w:t xml:space="preserve">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1000060242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1000066498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1000069612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1000079258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1000080881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1000081221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1000081454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1000081480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1000083396</w:t>
            </w:r>
            <w:r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 xml:space="preserve">; e </w:t>
            </w:r>
            <w:r w:rsidRPr="007F59F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1000084365</w:t>
            </w:r>
            <w:r w:rsidR="003671C4">
              <w:rPr>
                <w:rFonts w:ascii="Cambria" w:eastAsia="Times New Roman" w:hAnsi="Cambria"/>
                <w:sz w:val="18"/>
                <w:szCs w:val="18"/>
                <w:lang w:val="pt-BR" w:eastAsia="pt-BR"/>
              </w:rPr>
              <w:t>.</w:t>
            </w:r>
          </w:p>
          <w:p w14:paraId="34A7A2F2" w14:textId="3EF66004" w:rsidR="00ED3763" w:rsidRPr="00981C59" w:rsidRDefault="00ED3763" w:rsidP="003671C4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800C01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800C01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4C6AD1D9" w:rsidR="008E3C61" w:rsidRPr="008724F5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800C01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C8E44D3" w14:textId="6A1DFE3E" w:rsidR="009E789F" w:rsidRDefault="00981C59" w:rsidP="008E3C61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membro titular da Comissão, Conselheiro </w:t>
            </w: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Ademir Nogueira de Ávila</w:t>
            </w:r>
            <w:r w:rsidR="00DC6EDB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>suger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iu que seja incluída na pauta </w:t>
            </w:r>
            <w:r w:rsidRPr="0085498E">
              <w:rPr>
                <w:rFonts w:asciiTheme="majorHAnsi" w:hAnsiTheme="majorHAnsi"/>
                <w:sz w:val="20"/>
                <w:szCs w:val="20"/>
                <w:lang w:val="pt-BR"/>
              </w:rPr>
              <w:t>da Reunião Ordinária n° 185/2021,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dois assuntos relacionados à fiscalização, são eles: a) Desenvolvimento da 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>programa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ção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Projeto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>otas para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exercício de</w:t>
            </w:r>
            <w:r w:rsidR="005941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 e b) Revisão do documento de diretrizes da fiscalização no período de pandemia, tendo em vista o avanço da vacinação contra a Covid-19, que exigem uma readequação destas diretrizes. Segundo o Conselheiro, o ideal é que os dois assuntos possam ser apreciados na próxima reunião, designada para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dia 13 de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dezembro, a fim de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facilitar 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planejamento para o ano de 2022. A Coordenadora de Fiscalização, </w:t>
            </w:r>
            <w:r w:rsidRPr="00981C59">
              <w:rPr>
                <w:rFonts w:asciiTheme="majorHAnsi" w:hAnsiTheme="majorHAnsi"/>
                <w:sz w:val="20"/>
                <w:szCs w:val="20"/>
                <w:lang w:val="pt-BR"/>
              </w:rPr>
              <w:t>Luana Pascoal G. Rodrigues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destacou ainda sobre a necessidade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de contemplar, nest</w:t>
            </w:r>
            <w:r w:rsidR="00851F4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revisão, o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retorno da análise de denúncias encaminhadas ao CAU/MG.</w:t>
            </w:r>
          </w:p>
          <w:p w14:paraId="4B106DC3" w14:textId="55EDF730" w:rsidR="00BB53F0" w:rsidRPr="00043280" w:rsidRDefault="00BB53F0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800C01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8F92DA0" w14:textId="106126BA" w:rsidR="008B7B28" w:rsidRPr="00B30203" w:rsidRDefault="00851F49" w:rsidP="008B7B2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olicitação de inclusão dos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itens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mencionados na pauta da Reunião 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rdinária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185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5A1D65" w:rsidRPr="00800C01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DC98" w14:textId="56E319D1" w:rsidR="00027361" w:rsidRPr="008724F5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800C01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800C01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139C59C0" w14:textId="00E11294" w:rsidR="00851F49" w:rsidRPr="00851F49" w:rsidRDefault="00851F49" w:rsidP="00851F4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>Apreciação do PROTOCOLO 1394841/2021, referente a solicitação da CAT-A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> </w:t>
            </w:r>
            <w:hyperlink r:id="rId9" w:tgtFrame="_blank" w:history="1">
              <w:r w:rsidRPr="00965D92">
                <w:rPr>
                  <w:rFonts w:asciiTheme="majorHAnsi" w:hAnsiTheme="majorHAnsi"/>
                  <w:sz w:val="20"/>
                  <w:szCs w:val="20"/>
                  <w:lang w:val="pt-BR"/>
                </w:rPr>
                <w:t>690987/202</w:t>
              </w:r>
            </w:hyperlink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>1 para análise da Comissão de Exercício Profissional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5F30717" w14:textId="572D2813" w:rsidR="00E1401A" w:rsidRDefault="00851F49" w:rsidP="00851F49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a matéria em epígrafe, e por ser parte interessada no processo, o membro titular, Conselheiro Rafael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Decina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Arantes, se considerou suspeito para participar das discussões e foi removido, temporariamente, da sala virtual de videoconferência. Os demais membros da CEP-CA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U/MG, após análise e discussões,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m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>anifestaram seu entendimento de que as considerações apontadas pelo setor técnico do CAU/MG, nos termos dos despachos de diligência encaminhados ao requerente, são pertinentes e estão de acordo com a legislação e normativos de referência. Assim, as orientações ao setor técnico são no sentido de informar ao profissional requerente sobre a necessidade de cumprimento da diligência já encaminhada pelo corpo técnico do CAU/MG, ou seja, a necessidade de retificação do RRT e a correção do endereço da obra/serviço.</w:t>
            </w:r>
          </w:p>
          <w:p w14:paraId="6D09C1E9" w14:textId="77777777" w:rsidR="00E1401A" w:rsidRPr="0042294A" w:rsidRDefault="00E1401A" w:rsidP="00851F49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4"/>
                <w:szCs w:val="4"/>
                <w:lang w:val="pt-BR"/>
              </w:rPr>
            </w:pPr>
          </w:p>
          <w:p w14:paraId="388692D1" w14:textId="14F6C176" w:rsidR="00851F49" w:rsidRPr="00965D92" w:rsidRDefault="00DC6EDB" w:rsidP="00E1401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1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de revisão de tutoriais de preenchimento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85498E">
              <w:rPr>
                <w:rFonts w:asciiTheme="majorHAnsi" w:hAnsiTheme="majorHAnsi"/>
                <w:sz w:val="20"/>
                <w:szCs w:val="20"/>
                <w:lang w:val="pt-BR"/>
              </w:rPr>
              <w:t>Ainda no âmbito das discussões do item anterior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tendo em vista a necessidade de esclarecimentos à comunidade profissional acerca do correto preenchimento dos </w:t>
            </w:r>
            <w:proofErr w:type="spellStart"/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especificamente 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no que se refere ao preenchimento de endereços neste documento, foram repassadas diretrizes </w:t>
            </w:r>
            <w:r w:rsidR="008E35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à assessoria técnica desta Comissão para a redação de informações complementares aos tutoriais de </w:t>
            </w:r>
            <w:proofErr w:type="spellStart"/>
            <w:r w:rsidR="008E3531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="008E35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sítio eletrônico do CAU/MG. Após aprovação da minuta pelos membros da Comissão, pede-se seu encaminhamento à Assessoria de Comunicação para publicação no sítio eletrônico do CAU/MG.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CEA2FED" w14:textId="5BB6EC84" w:rsidR="005A1D65" w:rsidRPr="00043280" w:rsidRDefault="005A1D65" w:rsidP="008E3C61">
            <w:pPr>
              <w:pStyle w:val="PargrafodaLista"/>
              <w:spacing w:line="300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800C01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FE19716" w14:textId="7325AFA3" w:rsidR="00BC4309" w:rsidRDefault="0069755D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4.1.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solicitada da assessoria técnica a redação de deliberação contemplando os principais aspectos discutidos na reunião, e seu respectivo encaminhamento para o setor técnico para conhecimento e encaminhamentos</w:t>
            </w:r>
            <w:r w:rsidR="007B59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por meio do </w:t>
            </w:r>
            <w:r w:rsidR="007B5991" w:rsidRPr="00965D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</w:t>
            </w:r>
            <w:r w:rsidR="007B5991">
              <w:rPr>
                <w:rFonts w:asciiTheme="majorHAnsi" w:hAnsiTheme="majorHAnsi"/>
                <w:sz w:val="20"/>
                <w:szCs w:val="20"/>
                <w:lang w:val="pt-BR"/>
              </w:rPr>
              <w:t>1425830</w:t>
            </w:r>
            <w:r w:rsidR="007B5991" w:rsidRPr="00965D92">
              <w:rPr>
                <w:rFonts w:asciiTheme="majorHAnsi" w:hAnsiTheme="majorHAnsi"/>
                <w:sz w:val="20"/>
                <w:szCs w:val="20"/>
                <w:lang w:val="pt-BR"/>
              </w:rPr>
              <w:t>/2021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O profissional requerente deverá ser também comunicado, por meio de novos despachos de notificação no </w:t>
            </w:r>
            <w:r w:rsidR="007B5991" w:rsidRPr="00965D92">
              <w:rPr>
                <w:rFonts w:asciiTheme="majorHAnsi" w:hAnsiTheme="majorHAnsi"/>
                <w:sz w:val="20"/>
                <w:szCs w:val="20"/>
                <w:lang w:val="pt-BR"/>
              </w:rPr>
              <w:t>PROTOCOLO 1394841/2021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8E35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E3531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minutada a </w:t>
            </w:r>
            <w:r w:rsidR="008E3531" w:rsidRPr="0085498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184.4.1/2021 – DCEP-CAU/MG</w:t>
            </w:r>
            <w:r w:rsidR="008E353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cuja versão final, após apro</w:t>
            </w:r>
            <w:r w:rsidR="0085498E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vação </w:t>
            </w:r>
            <w:r w:rsidR="008E353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pelos membros da Comissão, deverá ser apensada ao Protocolo SICCAU N° </w:t>
            </w:r>
            <w:r w:rsidR="007B5991">
              <w:rPr>
                <w:rFonts w:asciiTheme="majorHAnsi" w:hAnsiTheme="majorHAnsi"/>
                <w:sz w:val="20"/>
                <w:szCs w:val="20"/>
                <w:lang w:val="pt-BR"/>
              </w:rPr>
              <w:t>1425830</w:t>
            </w:r>
            <w:r w:rsidR="008E353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/2021, e encaminhada à Presidência do CAU/MG, para conhecimento e encaminhamentos;</w:t>
            </w:r>
          </w:p>
          <w:p w14:paraId="09264045" w14:textId="1B7C44A0" w:rsidR="008E3531" w:rsidRDefault="008E3531" w:rsidP="00BC4309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9617263" w14:textId="22752F93" w:rsidR="008E3531" w:rsidRPr="00B30203" w:rsidRDefault="008E3531" w:rsidP="00BC4309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4.2. Foi minutada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184.4.2/2021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orientações sobre o preenchimento de </w:t>
            </w:r>
            <w:proofErr w:type="spellStart"/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RRT’s</w:t>
            </w:r>
            <w:proofErr w:type="spellEnd"/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cuja versão final, após aprovação pelos membros da Comissão, deverá ser apensada ao Protocolo SICCAU N° </w:t>
            </w:r>
            <w:r w:rsidR="0011430D" w:rsidRPr="0011430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1432517/2021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e encaminhada à Presidência do CAU/MG, para conhecimento e encaminhamentos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800C01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C0293" w14:textId="6C6E0613" w:rsidR="00027361" w:rsidRPr="008724F5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800C01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4B3A509" w14:textId="71E71A67" w:rsidR="0085498E" w:rsidRPr="0085498E" w:rsidRDefault="0085498E" w:rsidP="0085498E">
            <w:pPr>
              <w:pStyle w:val="PargrafodaLista"/>
              <w:ind w:left="360"/>
              <w:rPr>
                <w:rStyle w:val="normaltextrun"/>
                <w:rFonts w:asciiTheme="majorHAnsi" w:hAnsiTheme="majorHAnsi"/>
                <w:sz w:val="18"/>
                <w:szCs w:val="20"/>
                <w:lang w:val="pt-BR"/>
              </w:rPr>
            </w:pPr>
            <w:r w:rsidRPr="00DC6EDB">
              <w:rPr>
                <w:rStyle w:val="normaltextrun"/>
                <w:rFonts w:ascii="Cambria" w:hAnsi="Cambria"/>
                <w:color w:val="000000"/>
                <w:sz w:val="20"/>
                <w:szCs w:val="21"/>
                <w:shd w:val="clear" w:color="auto" w:fill="FFFFFF"/>
                <w:lang w:val="pt-BR"/>
              </w:rPr>
              <w:t>5.1. Apreciação da Deliberação DCD-CAU/MG n° 154.3.6/2021, remetida por meio do Protocolo SICCAU n° 1400860/2021, que trata sobre coordenação de atividades ligadas ao patrimônio:</w:t>
            </w:r>
          </w:p>
          <w:p w14:paraId="6B3E48DC" w14:textId="46D56679" w:rsidR="0034649D" w:rsidRDefault="0085498E" w:rsidP="0085498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da solicitação em epígrafe, a Comissão centrou suas discussões sobre 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>a necessidade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(ou não) de </w:t>
            </w:r>
            <w:bookmarkStart w:id="1" w:name="_Hlk89686301"/>
            <w:r>
              <w:rPr>
                <w:rFonts w:asciiTheme="majorHAnsi" w:hAnsiTheme="majorHAnsi"/>
                <w:sz w:val="20"/>
                <w:szCs w:val="20"/>
                <w:lang w:val="pt-BR"/>
              </w:rPr>
              <w:t>empresas que prestam serviços relacionados à coordenação técnica de atividades referentes ao patrimônio possuírem registro de pessoa jurídica junto ao CAU</w:t>
            </w:r>
            <w:bookmarkEnd w:id="1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mesmo se já possuírem registro de pessoa jurídica junto ao CREA.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 entendimento geral da Comissão foi o de que,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>esmo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possuindo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registro no CREA,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é indispensável o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registro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profissional da pessoa jurídica junto a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>o CAU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realização de 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>atividades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técnicas relacionadas a patrimônio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Ou seja, para trabalhar com obras patrimoniadas, é preciso ter registro no CAU. 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Comissão determinou por </w:t>
            </w:r>
            <w:bookmarkStart w:id="2" w:name="_Hlk89686395"/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>rientar que nos editais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concorrência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tratem de patrimônio, que seja exigida empresa com registro no CAU e com responsável técnico arq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>uiteto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urb</w:t>
            </w:r>
            <w:r w:rsidR="005573A3">
              <w:rPr>
                <w:rFonts w:asciiTheme="majorHAnsi" w:hAnsiTheme="majorHAnsi"/>
                <w:sz w:val="20"/>
                <w:szCs w:val="20"/>
                <w:lang w:val="pt-BR"/>
              </w:rPr>
              <w:t>anista, considerando ainda que dentre</w:t>
            </w:r>
            <w:r w:rsidR="0041082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profissionais que compõem o rol do CREA, não existem profissionais com atribuição para realizar estas atividades.</w:t>
            </w:r>
          </w:p>
          <w:bookmarkEnd w:id="2"/>
          <w:p w14:paraId="2D129D9B" w14:textId="65234616" w:rsidR="00410824" w:rsidRPr="00BC4309" w:rsidRDefault="00410824" w:rsidP="00BC430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800C01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DF17F80" w14:textId="77777777" w:rsidR="0034649D" w:rsidRDefault="005573A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minutada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184.5.1/2021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a manifestação do posicionamento da Comissão e com as orientações aos órgão</w:t>
            </w:r>
            <w:r w:rsidR="00CA263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públicos, 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cuja versão final, após aprovação, por mensagem eletrônica, pelos membros da Comissão, deverá ser apensada ao Protocolo SICCAU N° </w:t>
            </w:r>
            <w:r w:rsidR="00BA1461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1400860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/2021, e encaminhada à Presidência do CAU/MG, para conhecimento e encaminhamentos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  <w:p w14:paraId="4CA83D49" w14:textId="4C010389" w:rsidR="00823223" w:rsidRPr="00B30203" w:rsidRDefault="00823223" w:rsidP="005573A3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800C01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4F220052" w14:textId="5114818C" w:rsidR="00F36FB0" w:rsidRDefault="00F36FB0" w:rsidP="004A432D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E7B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do Ofício Circular n° 086/2021-CAU/BR, remetido por meio do Protocolo SICCAU n° 1422080/2021, que encaminha Deliberação n° 051/2021 da COA-CAU/BR para contribuições sobre seu texto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: O Coordenador Técnico do CAU/MG, </w:t>
            </w:r>
            <w:r w:rsidR="00DE7B5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Tadeu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Araújo Santos,</w:t>
            </w:r>
            <w:r w:rsidR="00DE7B5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realizou breves esclarecimentos sobre a matéria e apresentou suas observações sobre o texto em questão. Após análises e considerações pelos membros da CEP-CAU/MG, </w:t>
            </w:r>
            <w:r w:rsidR="008274C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constatou-se que as alterações de competências/atribuições propostas no texto aprovado pela </w:t>
            </w:r>
            <w:r w:rsidR="008274CC" w:rsidRPr="00AE7B6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Deliberação n° 051/2021 da COA-CAU/BR</w:t>
            </w:r>
            <w:r w:rsidR="008274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apenas consolidam práticas que já são usuais no âmbito da CEP-CAU/MG. Com isso, foi dispensada a apresentação de contribuições ao texto, devendo ser manifestada apenas a concordância desta Comissão à proposta. O Coordenador Técnico mencionou, por fim, a questão da quantidade de Conselheiros prevista por Comissão, conforme o Regimento Interno do CAU</w:t>
            </w:r>
            <w:r w:rsidR="004A432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/MG</w:t>
            </w:r>
            <w:r w:rsidR="008274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e</w:t>
            </w:r>
            <w:r w:rsidR="004A432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destacou que, isto poderá acarretar em problemas para a próxima gestão, caso os limites não sejam revistos. O Coordenador </w:t>
            </w:r>
            <w:r w:rsidR="004A432D">
              <w:rPr>
                <w:rFonts w:asciiTheme="majorHAnsi" w:eastAsia="Calibri" w:hAnsiTheme="majorHAnsi"/>
                <w:sz w:val="20"/>
                <w:szCs w:val="20"/>
                <w:lang w:val="pt-BR"/>
              </w:rPr>
              <w:lastRenderedPageBreak/>
              <w:t>da CEP, cons. Fábio Vieira, informou que irá levantar esta questão junto ao Conselho Diretor do CAU/MG.</w:t>
            </w:r>
          </w:p>
          <w:p w14:paraId="0E07E1CB" w14:textId="14B53E73" w:rsidR="004A432D" w:rsidRDefault="004A432D" w:rsidP="00BE66E3">
            <w:pPr>
              <w:ind w:left="309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Após a conclusão das discussões acima, o membro titular da Comissão, Conselheiro Ademir Ávila solicitou a inclusão de outros 2 temas na pauta, no que foi atendido, conforme itens 6.2 e 6.3 a seguir:</w:t>
            </w:r>
          </w:p>
          <w:p w14:paraId="0829794E" w14:textId="77777777" w:rsidR="00823223" w:rsidRPr="00823223" w:rsidRDefault="00823223" w:rsidP="00BE66E3">
            <w:pPr>
              <w:ind w:left="309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66D6134" w14:textId="3A1F494D" w:rsidR="004A432D" w:rsidRDefault="004A432D" w:rsidP="004A432D">
            <w:pPr>
              <w:pStyle w:val="PargrafodaLista"/>
              <w:numPr>
                <w:ilvl w:val="1"/>
                <w:numId w:val="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Questionamento de profissional acerca de Edital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Cesama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em Juiz de Fora: profissional questiona se a atividade</w:t>
            </w:r>
            <w:r w:rsidR="003A1FC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técnica referente 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saneamento</w:t>
            </w:r>
            <w:r w:rsidR="003A1FC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básico, de que trata o edital, poderia ser executada por arquitetos e urbanistas. O Coordenador da Comissão informou que a matéria já foi discutida no âmbito da Comissão Temporária para elaboração de sugestões de aprimoramento e que o entendimento foi de que atividades de saneamento podem ser realizadas por arquitetos, contudo, o edital em questão solicita conhecimentos em geologia aplicados a área de engenharia, que deverão ser comprovados pelo profissional concorrente, nos termos do edital. Ou seja, não seria adequado restringir a participação de arquitetos na concorrência, contudo, ele deverá em momento posterior, comprovar os conhecimentos exigidos pelo edital. O membro titular da CEP, Conselheiro Rafael Arantes, solicitou ao cons. Ademir Ávila, que aguarde a aprovação</w:t>
            </w:r>
            <w:r w:rsidR="00B5446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pelo Plenário do CAU/MG, do</w:t>
            </w:r>
            <w:r w:rsidR="003A1FC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relatório mencionado pelo cons. Fábio Vieira, </w:t>
            </w:r>
            <w:r w:rsidR="00B5446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antes de dar publicidade à informação a possíveis interessados.</w:t>
            </w:r>
          </w:p>
          <w:p w14:paraId="5D4BF001" w14:textId="77777777" w:rsidR="00823223" w:rsidRPr="00823223" w:rsidRDefault="00823223" w:rsidP="00823223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D3CA410" w14:textId="0F42E12D" w:rsidR="00B54467" w:rsidRDefault="00B54467" w:rsidP="004A432D">
            <w:pPr>
              <w:pStyle w:val="PargrafodaLista"/>
              <w:numPr>
                <w:ilvl w:val="1"/>
                <w:numId w:val="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Questionamentos de profissional sobre Engenharia de Segurança do Trabalho:</w:t>
            </w:r>
            <w:r w:rsidR="00823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profissional questiona acerca da validade da Portaria</w:t>
            </w:r>
            <w:r w:rsidR="00A762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n° 54/2020, do Comando-Geral do Corpo de Bombeiros Militar de Minas Gerais (CBMMG), que trata, entre outras coisas, dos instrutores que atuam na formação de brigadistas e de guarda-vidas civis no âmbito da corporação mencionada. Foi informado que o CREA já contestou a validade da Portaria, uma vez que os instrutores não teriam a formação adequada, e questiona se há alguma movimentação do CAU sobre a questão. O Assessor Técnico, Darlan Oliveira, informou que este assunto já foi discutido no âmbito da CEF-CAU/MG, que entendeu se tratar de assunto de competência do Colegiado de Entidades de Arquitetura e Urbanismo (CEAU), tendo sido a </w:t>
            </w:r>
            <w:r w:rsidR="00184F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matéria encaminhada ao Colegiado. Foi solicitado o levantamento de maiores informações para subsídio de uma possível analise da CEP-CAU/MG sobre a questão.</w:t>
            </w:r>
            <w:r w:rsidR="00A762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 </w:t>
            </w:r>
          </w:p>
          <w:p w14:paraId="7A12ED40" w14:textId="13C528FB" w:rsidR="008D5A32" w:rsidRPr="00184FEF" w:rsidRDefault="008D5A32" w:rsidP="00184FEF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800C01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8E66BBC" w14:textId="04AEDF6A" w:rsidR="00464360" w:rsidRPr="00B30203" w:rsidRDefault="00B54467" w:rsidP="00464360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minutada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46436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184.6.1/2021 – DCEP-CAU/MG</w:t>
            </w:r>
            <w:r w:rsidRP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o posicionamento da Comissão sobre a matér</w:t>
            </w:r>
            <w:r w:rsidR="0011430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i</w:t>
            </w:r>
            <w:r w:rsid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 w:rsid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="00464360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cuja versão final, após aprovação</w:t>
            </w:r>
            <w:r w:rsid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64360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pelos membros da Comissão, deverá ser apensada ao Protocolo SICCAU N° </w:t>
            </w:r>
            <w:r w:rsidR="00464360" w:rsidRP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1422080</w:t>
            </w:r>
            <w:r w:rsidR="00464360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/2021, e encaminhada à Presidência do CAU/MG, para conhecimento e encaminhamentos</w:t>
            </w:r>
            <w:r w:rsidR="0046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  <w:p w14:paraId="0DEF9778" w14:textId="3A79A334" w:rsidR="008E3C61" w:rsidRPr="00A07397" w:rsidRDefault="008E3C61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800C01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E4AAC8F" w14:textId="2AB5295A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>informou sobre os trabalhos da C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omissão 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>T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>emporária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trata dos aprimoramentos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Resolução CAU/BR n°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21,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destacou que seu Relatório Final será apreciado pelo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>lenário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amanhã,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dia 23/11/2021;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1A75AE17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026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comunicados;</w:t>
            </w:r>
          </w:p>
          <w:p w14:paraId="7D62F6CA" w14:textId="77777777" w:rsidR="00DD0BB3" w:rsidRPr="0042294A" w:rsidRDefault="00DD0BB3" w:rsidP="00DD0BB3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D2EF63E" w14:textId="3B654804" w:rsidR="008F6E9F" w:rsidRDefault="00DD0BB3" w:rsidP="00C70A43">
            <w:pPr>
              <w:pStyle w:val="PargrafodaLista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Fiscalização: 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>a Coordenadora da Fiscalização, Luana Rodrigues, comunicou</w:t>
            </w:r>
            <w:r w:rsidRPr="00965D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sobre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8F6E9F" w:rsidRPr="00965D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 dos docentes das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>I</w:t>
            </w:r>
            <w:r w:rsidR="008F6E9F" w:rsidRPr="00965D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nstituições de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8F6E9F" w:rsidRPr="00965D92">
              <w:rPr>
                <w:rFonts w:asciiTheme="majorHAnsi" w:hAnsiTheme="majorHAnsi"/>
                <w:sz w:val="20"/>
                <w:szCs w:val="20"/>
                <w:lang w:val="pt-BR"/>
              </w:rPr>
              <w:t>nsino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Superior (IES)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;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já foram fiscalizadas 39 IES privadas e ainda espera resultado de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outras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>30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; questionou aos membros da CEP sobre o início das ações de fiscalização das IES públicas, tendo em vista a repercussão negativa de outras ações de fiscalização a órgãos públicos; foi orientada pelos membros da CEP a dar início à fiscalização, independente de possíveis repercussões, pois se trata da função do Conselho. Comunicou 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>também sobre o preenchimento da planilha de processos, informando que todos os 95 processos distribuídos já possuem planilha e já podem ser preenchidos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>; completando a informação, o membro titular, Conselheiro Ademir Ávila, informou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outros processos ainda não distribuídos também já estão disponíveis para distribuição</w:t>
            </w:r>
            <w:r w:rsidR="008F6E9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planilha de processos.</w:t>
            </w:r>
          </w:p>
          <w:p w14:paraId="193A252F" w14:textId="77777777" w:rsidR="00DD0BB3" w:rsidRPr="0042294A" w:rsidRDefault="00DD0BB3" w:rsidP="00DD0BB3">
            <w:pPr>
              <w:pStyle w:val="PargrafodaLista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5516289" w14:textId="442FBAAF" w:rsidR="00C1527D" w:rsidRPr="00CE4563" w:rsidRDefault="00DD0BB3" w:rsidP="00CE4563">
            <w:pPr>
              <w:pStyle w:val="PargrafodaLista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D0BB3">
              <w:rPr>
                <w:rFonts w:asciiTheme="majorHAnsi" w:hAnsiTheme="majorHAnsi"/>
                <w:sz w:val="20"/>
                <w:szCs w:val="20"/>
                <w:lang w:val="pt-BR"/>
              </w:rPr>
              <w:t>Relato sobre Seminário Temático da CEP-CAU/BR, realizado no dia 16/11/2021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CE45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Coordenador Técnico, Tadeu Santos, e o membro titular, Conselheiro Ademir </w:t>
            </w:r>
            <w:r w:rsidR="00CE4563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Ávila, fizeram breve relato aos demais membros da Comissão sobre o Seminário da CEP-CAU/BR.</w:t>
            </w:r>
          </w:p>
        </w:tc>
      </w:tr>
      <w:tr w:rsidR="00BC4309" w:rsidRPr="00800C01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4ADE6B44" w14:textId="223B0C42" w:rsidR="00AA0573" w:rsidRDefault="00AA0573" w:rsidP="009C2FC9">
      <w:pPr>
        <w:rPr>
          <w:sz w:val="12"/>
          <w:szCs w:val="20"/>
          <w:lang w:val="pt-BR"/>
        </w:rPr>
      </w:pPr>
    </w:p>
    <w:p w14:paraId="4E52049C" w14:textId="3B87BD33" w:rsidR="00BC4309" w:rsidRDefault="00BC4309" w:rsidP="009C2FC9">
      <w:pPr>
        <w:rPr>
          <w:sz w:val="12"/>
          <w:szCs w:val="20"/>
          <w:lang w:val="pt-BR"/>
        </w:rPr>
      </w:pPr>
    </w:p>
    <w:p w14:paraId="61720FE9" w14:textId="77777777" w:rsidR="00BC4309" w:rsidRPr="00DA4678" w:rsidRDefault="00BC4309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800C01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955C78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800C01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00C01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00C01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00C01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00C01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p w14:paraId="2AAC6532" w14:textId="77777777" w:rsidR="00464360" w:rsidRDefault="00464360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6C41" w14:textId="77777777" w:rsidR="00C86B07" w:rsidRDefault="00C86B07">
      <w:r>
        <w:separator/>
      </w:r>
    </w:p>
  </w:endnote>
  <w:endnote w:type="continuationSeparator" w:id="0">
    <w:p w14:paraId="2DA7171F" w14:textId="77777777" w:rsidR="00C86B07" w:rsidRDefault="00C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8FDF" w14:textId="77777777" w:rsidR="00C86B07" w:rsidRDefault="00C86B07">
      <w:r>
        <w:separator/>
      </w:r>
    </w:p>
  </w:footnote>
  <w:footnote w:type="continuationSeparator" w:id="0">
    <w:p w14:paraId="63101A86" w14:textId="77777777" w:rsidR="00C86B07" w:rsidRDefault="00C8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20"/>
  </w:num>
  <w:num w:numId="17">
    <w:abstractNumId w:val="1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19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E44"/>
    <w:rsid w:val="00020413"/>
    <w:rsid w:val="00023035"/>
    <w:rsid w:val="00026B4D"/>
    <w:rsid w:val="00027361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430D"/>
    <w:rsid w:val="00117E4A"/>
    <w:rsid w:val="001318DD"/>
    <w:rsid w:val="00131ADC"/>
    <w:rsid w:val="00144FD0"/>
    <w:rsid w:val="001533CF"/>
    <w:rsid w:val="001618BE"/>
    <w:rsid w:val="0017578F"/>
    <w:rsid w:val="00184FEF"/>
    <w:rsid w:val="00192F7D"/>
    <w:rsid w:val="0019787D"/>
    <w:rsid w:val="001A4779"/>
    <w:rsid w:val="001B4C81"/>
    <w:rsid w:val="001C5F97"/>
    <w:rsid w:val="001D1B93"/>
    <w:rsid w:val="001F70BB"/>
    <w:rsid w:val="00204C0D"/>
    <w:rsid w:val="00211752"/>
    <w:rsid w:val="00212507"/>
    <w:rsid w:val="002162BA"/>
    <w:rsid w:val="002209A3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313C4E"/>
    <w:rsid w:val="00317D68"/>
    <w:rsid w:val="0032291D"/>
    <w:rsid w:val="00322943"/>
    <w:rsid w:val="00330D38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84E21"/>
    <w:rsid w:val="00391DF6"/>
    <w:rsid w:val="003A1FCD"/>
    <w:rsid w:val="003C1025"/>
    <w:rsid w:val="003D67E5"/>
    <w:rsid w:val="003F238D"/>
    <w:rsid w:val="00400BE8"/>
    <w:rsid w:val="0040101C"/>
    <w:rsid w:val="004019BC"/>
    <w:rsid w:val="00410824"/>
    <w:rsid w:val="00415641"/>
    <w:rsid w:val="0042294A"/>
    <w:rsid w:val="0044192A"/>
    <w:rsid w:val="00464360"/>
    <w:rsid w:val="00475E5D"/>
    <w:rsid w:val="00481423"/>
    <w:rsid w:val="004A432D"/>
    <w:rsid w:val="004A5592"/>
    <w:rsid w:val="004A65CC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7404"/>
    <w:rsid w:val="005B017D"/>
    <w:rsid w:val="005D26D2"/>
    <w:rsid w:val="00610DB9"/>
    <w:rsid w:val="0061502B"/>
    <w:rsid w:val="006232E4"/>
    <w:rsid w:val="00637067"/>
    <w:rsid w:val="00652A26"/>
    <w:rsid w:val="00655AD6"/>
    <w:rsid w:val="0066517D"/>
    <w:rsid w:val="00686D15"/>
    <w:rsid w:val="00692726"/>
    <w:rsid w:val="0069755D"/>
    <w:rsid w:val="006B1141"/>
    <w:rsid w:val="006B6454"/>
    <w:rsid w:val="006C0705"/>
    <w:rsid w:val="006D28CA"/>
    <w:rsid w:val="006D7BA9"/>
    <w:rsid w:val="006E6D2D"/>
    <w:rsid w:val="006F198E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C1C31"/>
    <w:rsid w:val="007C4298"/>
    <w:rsid w:val="007C5270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B4E91"/>
    <w:rsid w:val="008B5E0B"/>
    <w:rsid w:val="008B6415"/>
    <w:rsid w:val="008B7B28"/>
    <w:rsid w:val="008C6FE0"/>
    <w:rsid w:val="008D5A32"/>
    <w:rsid w:val="008D6C47"/>
    <w:rsid w:val="008E10F4"/>
    <w:rsid w:val="008E3531"/>
    <w:rsid w:val="008E3B96"/>
    <w:rsid w:val="008E3C61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12223"/>
    <w:rsid w:val="00A2765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10E1D"/>
    <w:rsid w:val="00B26BE0"/>
    <w:rsid w:val="00B30203"/>
    <w:rsid w:val="00B37AF7"/>
    <w:rsid w:val="00B44E9E"/>
    <w:rsid w:val="00B46377"/>
    <w:rsid w:val="00B54467"/>
    <w:rsid w:val="00B6071E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559"/>
    <w:rsid w:val="00C0686A"/>
    <w:rsid w:val="00C1527D"/>
    <w:rsid w:val="00C17844"/>
    <w:rsid w:val="00C22179"/>
    <w:rsid w:val="00C5259B"/>
    <w:rsid w:val="00C6352D"/>
    <w:rsid w:val="00C70A43"/>
    <w:rsid w:val="00C73715"/>
    <w:rsid w:val="00C86B07"/>
    <w:rsid w:val="00C91F43"/>
    <w:rsid w:val="00CA263A"/>
    <w:rsid w:val="00CA5EF6"/>
    <w:rsid w:val="00CB5CAA"/>
    <w:rsid w:val="00CC3BB2"/>
    <w:rsid w:val="00CE4563"/>
    <w:rsid w:val="00CF2C23"/>
    <w:rsid w:val="00CF3B21"/>
    <w:rsid w:val="00D07860"/>
    <w:rsid w:val="00D1503A"/>
    <w:rsid w:val="00D15B06"/>
    <w:rsid w:val="00D22E01"/>
    <w:rsid w:val="00D66B18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9616C"/>
    <w:rsid w:val="00EC722C"/>
    <w:rsid w:val="00ED0D78"/>
    <w:rsid w:val="00ED3763"/>
    <w:rsid w:val="00F00BA5"/>
    <w:rsid w:val="00F0513A"/>
    <w:rsid w:val="00F11E8A"/>
    <w:rsid w:val="00F17FA6"/>
    <w:rsid w:val="00F36FB0"/>
    <w:rsid w:val="00F460F0"/>
    <w:rsid w:val="00F64A1C"/>
    <w:rsid w:val="00F7051B"/>
    <w:rsid w:val="00F8363E"/>
    <w:rsid w:val="00FA7D4D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cau.caubr.gov.br/app/view/sight/ini.php?form=Certidao&amp;numero=690987&amp;ano=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ccau.caubr.gov.br/app/view/sight/ini.php?form=Certidao&amp;numero=690987&amp;ano=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A08-9E4D-4B33-86A2-5E74E47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2422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58</cp:revision>
  <cp:lastPrinted>2021-06-25T13:35:00Z</cp:lastPrinted>
  <dcterms:created xsi:type="dcterms:W3CDTF">2021-04-20T11:43:00Z</dcterms:created>
  <dcterms:modified xsi:type="dcterms:W3CDTF">2021-12-07T19:06:00Z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