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850"/>
        <w:gridCol w:w="2963"/>
      </w:tblGrid>
      <w:tr w:rsidR="002A57A5" w:rsidRPr="009E5054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6F34EDF1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>SÚMULA DA 1</w:t>
            </w:r>
            <w:r w:rsidR="00AC7117">
              <w:rPr>
                <w:rFonts w:asciiTheme="majorHAnsi" w:eastAsia="Calibri" w:hAnsiTheme="majorHAnsi" w:cs="Times New Roman"/>
                <w:b/>
                <w:lang w:val="pt-BR"/>
              </w:rPr>
              <w:t>83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9E5054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1F4E05F7" w:rsidR="002A57A5" w:rsidRDefault="00043280" w:rsidP="00043280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outubro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0B24B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</w:p>
        </w:tc>
      </w:tr>
      <w:tr w:rsidR="002A57A5" w:rsidRPr="009E5054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1A435C86" w:rsidR="002A57A5" w:rsidRDefault="00AC7117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Sede do CAU/MG, Av. Getúlio Vargas, 447, 11° andar, Funcionários, Belo Horizonte 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[reunião realizada em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formato híbrido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com a participação de membros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por meio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videoconferência]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07F7FBA1" w:rsidR="002A57A5" w:rsidRDefault="0032291D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32291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45</w:t>
            </w:r>
            <w:r w:rsidR="007958C6" w:rsidRPr="0032291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227F2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12h52</w:t>
            </w:r>
            <w:r w:rsidR="007958C6" w:rsidRPr="00227F2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AC711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376098D2" w14:textId="1DE731A3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F8363E" w14:paraId="6BD75A28" w14:textId="77777777" w:rsidTr="00AC711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96E6FC6" w14:textId="6E671E14" w:rsidR="00074F63" w:rsidRPr="00B37AF7" w:rsidRDefault="00F8363E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8363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Lucas Lima Leonel Fonseca</w:t>
            </w:r>
            <w:r w:rsidR="0032294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322943" w:rsidRPr="00AC7117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lang w:val="pt-BR"/>
              </w:rPr>
              <w:t>(participação virtual)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C2E4FB" w14:textId="142623E8" w:rsidR="00074F63" w:rsidRPr="00B37AF7" w:rsidRDefault="00F8363E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d. Adjunto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074F63" w:rsidRPr="00F8363E" w14:paraId="78F1E921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0F4B7081" w14:textId="58ABACA5" w:rsidR="00074F63" w:rsidRPr="00B37AF7" w:rsidRDefault="00F8363E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C27ABAD" w14:textId="0F50F25D" w:rsidR="00074F63" w:rsidRPr="00B37AF7" w:rsidRDefault="00F8363E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6A528A5F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48EA4E07" w14:textId="4C6D8A9A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Moura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AC7117" w:rsidRPr="00AC7117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lang w:val="pt-BR"/>
              </w:rPr>
              <w:t>(participação virtual)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10C51EDA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7904643" w14:textId="03D757AC" w:rsidR="00074F63" w:rsidRPr="00B37AF7" w:rsidRDefault="00131AD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131AD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131AD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Decina</w:t>
            </w:r>
            <w:proofErr w:type="spellEnd"/>
            <w:r w:rsidRPr="00131AD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Arantes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AC7117" w:rsidRPr="00AC7117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lang w:val="pt-BR"/>
              </w:rPr>
              <w:t>(participação virtual)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14E42DFE" w14:textId="6CA4AB3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131ADC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074F63" w:rsidRPr="000B24B8" w14:paraId="72C747CB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EB6A74A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203CB340" w14:textId="7AD55E72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AC7117" w:rsidRPr="00AC7117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lang w:val="pt-BR"/>
              </w:rPr>
              <w:t>(participação virtual)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3B57145" w14:textId="1E89B705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Gerente de Fiscalização</w:t>
            </w:r>
          </w:p>
        </w:tc>
      </w:tr>
      <w:tr w:rsidR="00074F63" w:rsidRPr="000B24B8" w14:paraId="30B1400E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98E7D25" w14:textId="60ACC7D0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Luana Pascoal G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Rodrigues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AC7117" w:rsidRPr="00AC7117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lang w:val="pt-BR"/>
              </w:rPr>
              <w:t>(participação virtual)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A63C60B" w14:textId="58942B33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795CA5B9" w:rsidR="00BB7825" w:rsidRDefault="00AC7117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9E5054" w14:paraId="7D2F614A" w14:textId="77777777" w:rsidTr="00DA4678">
        <w:trPr>
          <w:trHeight w:val="185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FF38B2F" w14:textId="036CEA6F" w:rsidR="0032291D" w:rsidRPr="00DA4678" w:rsidRDefault="00BB7825" w:rsidP="00C0686A">
            <w:pPr>
              <w:suppressLineNumbers/>
              <w:spacing w:line="25" w:lineRule="atLeast"/>
              <w:jc w:val="both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Foi verificado o </w:t>
            </w:r>
            <w:r w:rsidRPr="0032291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quórum às </w:t>
            </w:r>
            <w:r w:rsidR="0032291D" w:rsidRPr="0032291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09h45</w:t>
            </w:r>
            <w:r w:rsidRPr="0032291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  <w:r w:rsidR="0032291D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quando foi iniciada a </w:t>
            </w:r>
            <w:r w:rsidR="00FC0127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reunião</w:t>
            </w:r>
            <w:r w:rsidR="0032291D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. 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O membro titular da CEP-CAU/MG, Conselheiro </w:t>
            </w:r>
            <w:r w:rsidR="0032291D" w:rsidRP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Ademir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Ávila, solicitou a inclusão de 2 (dois) novos itens de pauta, no que foi atendido e aprovado pelo Co</w:t>
            </w:r>
            <w:r w:rsidR="00227F2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ordenador e demais membros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 tendo sido incluídos</w:t>
            </w:r>
            <w:r w:rsidR="00227F2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os 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</w:t>
            </w:r>
            <w:r w:rsidR="00227F2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solicitados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como </w:t>
            </w:r>
            <w:r w:rsidR="00227F2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“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</w:t>
            </w:r>
            <w:r w:rsidR="00227F2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”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 itens 4.1 e 4.2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descritos 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nesta Súmula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.</w:t>
            </w:r>
            <w:r w:rsidR="00322943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Registra-se ainda que o Conselheiro Lucas Fonseca, </w:t>
            </w:r>
            <w:r w:rsidR="00227F2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embora tenha confirmado participação</w:t>
            </w:r>
            <w:r w:rsidR="00322943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no formato presencial, por motivos 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de força maior</w:t>
            </w:r>
            <w:r w:rsidR="00322943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, participou da </w:t>
            </w:r>
            <w:r w:rsidR="00227F2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presente </w:t>
            </w:r>
            <w:r w:rsidR="00322943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reunião de forma virtual.</w:t>
            </w:r>
          </w:p>
        </w:tc>
      </w:tr>
      <w:tr w:rsidR="00BB7825" w:rsidRPr="00BD61BA" w14:paraId="5DE43FC3" w14:textId="77777777" w:rsidTr="00DA4678">
        <w:trPr>
          <w:trHeight w:val="2819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D816E55" w:rsidR="00B37AF7" w:rsidRPr="00131ADC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043280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43280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043280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56EF012C" w14:textId="77777777" w:rsidR="00B37AF7" w:rsidRPr="00043280" w:rsidRDefault="00131ADC" w:rsidP="00DA4678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43280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3009BA7C" w14:textId="77777777" w:rsidR="00043280" w:rsidRPr="00043280" w:rsidRDefault="00043280" w:rsidP="00DA4678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043F25B" w14:textId="77777777" w:rsidR="00043280" w:rsidRPr="00043280" w:rsidRDefault="00043280" w:rsidP="00DA4678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43280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  <w:p w14:paraId="685828DA" w14:textId="77777777" w:rsidR="00AC7117" w:rsidRPr="00AC7117" w:rsidRDefault="00AC7117" w:rsidP="00DA4678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Fiscalização </w:t>
            </w:r>
            <w:r w:rsidRPr="00AC711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de mostras de Arquitetura e Urbanismo: atuação do profissional de designer de interiores;</w:t>
            </w:r>
          </w:p>
          <w:p w14:paraId="19241AD3" w14:textId="77777777" w:rsidR="00AC7117" w:rsidRPr="00AC7117" w:rsidRDefault="00AC7117" w:rsidP="00DA4678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Proposta </w:t>
            </w:r>
            <w:r w:rsidRPr="00AC7117">
              <w:rPr>
                <w:rFonts w:asciiTheme="majorHAnsi" w:eastAsia="Times New Roman" w:hAnsiTheme="majorHAnsi" w:cs="Arial"/>
                <w:color w:val="201F1E"/>
                <w:sz w:val="20"/>
                <w:szCs w:val="20"/>
                <w:lang w:val="pt-BR" w:eastAsia="pt-BR"/>
              </w:rPr>
              <w:t>de metas para os indicadores de 2022.</w:t>
            </w: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5776DF15" w14:textId="77777777" w:rsidR="00043280" w:rsidRPr="00043280" w:rsidRDefault="00043280" w:rsidP="00DA4678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6590E9C" w14:textId="4E6ACFF8" w:rsidR="00043280" w:rsidRPr="00043280" w:rsidRDefault="00043280" w:rsidP="00DA4678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43280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</w:t>
            </w:r>
            <w:r w:rsidR="00955C78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04328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Análises Técnicas:</w:t>
            </w:r>
          </w:p>
          <w:p w14:paraId="00A11762" w14:textId="7B86E290" w:rsidR="00043280" w:rsidRPr="00043280" w:rsidRDefault="00AC7117" w:rsidP="00DA4678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Discussão Sobre emissão de Certidões de Acervo Técnico;</w:t>
            </w:r>
          </w:p>
          <w:p w14:paraId="3F0AC8CB" w14:textId="77777777" w:rsidR="00043280" w:rsidRPr="00043280" w:rsidRDefault="00043280" w:rsidP="00DA4678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0865B1A" w14:textId="77777777" w:rsidR="00043280" w:rsidRDefault="00043280" w:rsidP="00DA4678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43280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6F791EB9" w14:textId="1975F0B4" w:rsidR="00BD61BA" w:rsidRDefault="00BD61BA" w:rsidP="00DA4678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 sobre propostas de alteração da Resolução CAU/BR N° 91/2014;</w:t>
            </w:r>
          </w:p>
          <w:p w14:paraId="73CF9483" w14:textId="6D675FBD" w:rsidR="00BD61BA" w:rsidRPr="00043280" w:rsidRDefault="00BD61BA" w:rsidP="00DA4678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 sobre ICMS Cultural;</w:t>
            </w:r>
          </w:p>
          <w:p w14:paraId="32EA3446" w14:textId="7C0114C2" w:rsidR="00043280" w:rsidRPr="00043280" w:rsidRDefault="00043280" w:rsidP="00043280">
            <w:pPr>
              <w:suppressAutoHyphens w:val="0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9E5054" w14:paraId="2C53EF2C" w14:textId="77777777" w:rsidTr="00DA4678">
        <w:trPr>
          <w:trHeight w:val="736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Pr="00DA4678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C</w:t>
            </w:r>
            <w:r w:rsidRPr="00DA467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131ADC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600E507" w14:textId="77777777" w:rsidR="00AC7117" w:rsidRPr="00AC7117" w:rsidRDefault="00AC7117" w:rsidP="00DA4678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Comissão;</w:t>
            </w:r>
          </w:p>
          <w:p w14:paraId="216C1375" w14:textId="4586C53E" w:rsidR="00AC7117" w:rsidRPr="00DA4678" w:rsidRDefault="00AC7117" w:rsidP="00DA4678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Comissão.</w:t>
            </w:r>
          </w:p>
        </w:tc>
      </w:tr>
      <w:tr w:rsidR="00BB7825" w:rsidRPr="009E5054" w14:paraId="38591EB0" w14:textId="77777777" w:rsidTr="00DA4678">
        <w:trPr>
          <w:trHeight w:val="48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31FDC74" w14:textId="6C60A0C5" w:rsidR="00BB7825" w:rsidRDefault="00BB7825" w:rsidP="00F64A1C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B949CB" w:rsidRPr="00B949CB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12h52</w:t>
            </w:r>
            <w:r w:rsidRPr="00B949CB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4DFB29E4" w14:textId="77777777" w:rsidR="002A57A5" w:rsidRDefault="002A57A5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9E5054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046A5B7A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8724F5" w:rsidRPr="009E5054" w14:paraId="3654850E" w14:textId="77777777" w:rsidTr="009E5054">
        <w:trPr>
          <w:trHeight w:val="2251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1D8730" w14:textId="5FF7828D" w:rsidR="008724F5" w:rsidRPr="008724F5" w:rsidRDefault="00A12223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</w:t>
            </w:r>
            <w:r w:rsidR="008724F5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D80C15" w14:textId="6E931A79" w:rsidR="005202A3" w:rsidRPr="00554EC4" w:rsidRDefault="00B71EF7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B71EF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Não foram apresentados relatórios de </w:t>
            </w:r>
            <w:r w:rsidR="00A07397" w:rsidRPr="00B71EF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processos de fiscalização</w:t>
            </w:r>
            <w:r w:rsidRPr="00B71EF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nesta sessão.</w:t>
            </w:r>
            <w:r w:rsidR="00554EC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227F2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Contudo, </w:t>
            </w:r>
            <w:r w:rsidR="00A74B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os</w:t>
            </w:r>
            <w:r w:rsidR="00227F2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membros da Comissão aproveitaram</w:t>
            </w:r>
            <w:r w:rsidR="00A74B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 oportunidade para solicitar </w:t>
            </w:r>
            <w:r w:rsidR="00554EC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esclarecimentos do corpo</w:t>
            </w:r>
            <w:r w:rsidR="00A74B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técnico</w:t>
            </w:r>
            <w:r w:rsidR="00A1222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="00A74B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em relação </w:t>
            </w:r>
            <w:r w:rsidR="00554EC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aos novos procedimentos de preenchimento de relatórios de fiscalização, por meio de planilha </w:t>
            </w:r>
            <w:proofErr w:type="spellStart"/>
            <w:r w:rsidR="00554EC4" w:rsidRPr="00A12223">
              <w:rPr>
                <w:rFonts w:ascii="Cambria" w:eastAsia="Calibri" w:hAnsi="Cambria" w:cs="Times New Roman"/>
                <w:i/>
                <w:sz w:val="20"/>
                <w:szCs w:val="20"/>
                <w:lang w:val="pt-BR"/>
              </w:rPr>
              <w:t>excel</w:t>
            </w:r>
            <w:proofErr w:type="spellEnd"/>
            <w:r w:rsidR="00554EC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automatizada. A Coordenadora de Fiscalização, Luana Rodrigues, informou q</w:t>
            </w:r>
            <w:r w:rsidR="00A1222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ue a planilha foi testada pelo Setor de F</w:t>
            </w:r>
            <w:r w:rsidR="00554EC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iscal</w:t>
            </w:r>
            <w:r w:rsidR="00A1222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ização e que o novo procedimento funcionou conforme o esperado</w:t>
            </w:r>
            <w:r w:rsidR="00554EC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="00A1222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Após considerações de caráter técnico em relação aos </w:t>
            </w:r>
            <w:r w:rsidR="00A12223" w:rsidRPr="00A12223">
              <w:rPr>
                <w:rFonts w:ascii="Cambria" w:eastAsia="Calibri" w:hAnsi="Cambria" w:cs="Times New Roman"/>
                <w:i/>
                <w:sz w:val="20"/>
                <w:szCs w:val="20"/>
                <w:lang w:val="pt-BR"/>
              </w:rPr>
              <w:t>softwares</w:t>
            </w:r>
            <w:r w:rsidR="00A1222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utilizados e metodologias de preenchimento,</w:t>
            </w:r>
            <w:r w:rsidR="00554EC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A1222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G</w:t>
            </w:r>
            <w:r w:rsidR="00554EC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er</w:t>
            </w:r>
            <w:r w:rsidR="00A1222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ente Técnica e de F</w:t>
            </w:r>
            <w:r w:rsidR="00554EC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iscalização, Samira Houri, acrescentou que o preenchimento</w:t>
            </w:r>
            <w:r w:rsidR="00A1222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automatizado será adotado como padrão pelo corpo téc</w:t>
            </w:r>
            <w:r w:rsid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nico do CAU/MG de agora em diante</w:t>
            </w:r>
            <w:r w:rsidR="00A1222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</w:t>
            </w:r>
          </w:p>
        </w:tc>
      </w:tr>
      <w:tr w:rsidR="00A12223" w:rsidRPr="009E5054" w14:paraId="5A1D630E" w14:textId="77777777" w:rsidTr="00DA4678">
        <w:trPr>
          <w:trHeight w:val="55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583656" w14:textId="77777777" w:rsidR="00A12223" w:rsidRDefault="00A12223" w:rsidP="00DA46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B57124" w14:textId="10E00E95" w:rsidR="00A12223" w:rsidRPr="008724F5" w:rsidRDefault="00A12223" w:rsidP="00A122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6C26159" w14:textId="67AD793D" w:rsidR="00A12223" w:rsidRPr="00A07397" w:rsidRDefault="00A12223" w:rsidP="00DA4678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tr w:rsidR="008724F5" w:rsidRPr="009E5054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134A3" w14:textId="77777777" w:rsidR="00027361" w:rsidRPr="008724F5" w:rsidRDefault="00027361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62458471"/>
          </w:p>
        </w:tc>
      </w:tr>
      <w:tr w:rsidR="008724F5" w:rsidRPr="00A12223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1C6B74B1" w:rsidR="008724F5" w:rsidRPr="00A07397" w:rsidRDefault="00D1503A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D1503A" w:rsidRPr="009E5054" w14:paraId="2D10FDF8" w14:textId="77777777" w:rsidTr="000B7DF9">
        <w:trPr>
          <w:trHeight w:val="4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CC04" w14:textId="33C463E9" w:rsidR="00D1503A" w:rsidRPr="00740BCD" w:rsidRDefault="00841D12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D1503A"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9FC8" w14:textId="4C62DE60" w:rsidR="00B10E1D" w:rsidRPr="00C0686A" w:rsidRDefault="00AC7117" w:rsidP="007E48A6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 w:rsidRPr="00C068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Fiscalização </w:t>
            </w:r>
            <w:r w:rsidRPr="00C0686A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de mos</w:t>
            </w:r>
            <w:r w:rsidR="00C0686A" w:rsidRPr="00C0686A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tras de Arquitetura e Urbanismo -</w:t>
            </w:r>
            <w:r w:rsidRPr="00C0686A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atuação do profissional de designer de interiores:</w:t>
            </w:r>
            <w:r w:rsidR="00554EC4" w:rsidRPr="00C0686A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841D12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Coordenadora de Fiscalização, Luana Rodrigue</w:t>
            </w:r>
            <w:r w:rsidR="00637067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</w:t>
            </w:r>
            <w:r w:rsidR="00841D12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informou sobre a realização de ações de fiscalização do CAU/MG em mostras de arquitetura e</w:t>
            </w:r>
            <w:r w:rsid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decoração, e</w:t>
            </w:r>
            <w:r w:rsidR="00841D12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apresentou algumas dificuldades/dúvidas surgidas nestas ações que, após consulta à Gerência Jurídica do CAU/MG, foi sugerido o encaminhamento à esta Comissão</w:t>
            </w:r>
            <w:r w:rsid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para </w:t>
            </w:r>
            <w:r w:rsidR="00637067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os devidos esclarecimentos</w:t>
            </w:r>
            <w:r w:rsidR="00841D12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</w:t>
            </w:r>
            <w:r w:rsidR="007B000B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 principais dúvidas estão centradas sobre a nec</w:t>
            </w:r>
            <w:r w:rsid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essidade de notificação</w:t>
            </w:r>
            <w:r w:rsidR="007B000B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profissionais de </w:t>
            </w:r>
            <w:r w:rsidR="007B000B" w:rsidRPr="00C0686A">
              <w:rPr>
                <w:rFonts w:ascii="Cambria" w:eastAsia="Calibri" w:hAnsi="Cambria" w:cs="Times New Roman"/>
                <w:i/>
                <w:sz w:val="20"/>
                <w:szCs w:val="20"/>
                <w:lang w:val="pt-BR"/>
              </w:rPr>
              <w:t>design</w:t>
            </w:r>
            <w:r w:rsidR="007B000B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interiores por exercício ilegal da</w:t>
            </w:r>
            <w:r w:rsid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arquitetura</w:t>
            </w:r>
            <w:r w:rsidR="007B000B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Após discussões e considerações pelos membros da CEP e </w:t>
            </w:r>
            <w:r w:rsid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</w:t>
            </w:r>
            <w:r w:rsidR="007B000B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corpo técnico do CAU/MG, concluiu-se que o ponto central da questão resta sobre a adequada análise, pelo agente de fiscalização, acerca da natureza da atividade técnica desenvolvida pelo profissional fiscalizado, de fo</w:t>
            </w:r>
            <w:r w:rsid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rma que sejam notificados</w:t>
            </w:r>
            <w:r w:rsidR="00637067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apenas aqueles </w:t>
            </w:r>
            <w:r w:rsidR="007B000B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que estejam desempenhando atividades técnicas do campo de atu</w:t>
            </w:r>
            <w:r w:rsidR="00637067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ação da arquitetura e urbanismo</w:t>
            </w:r>
            <w:r w:rsidR="007B000B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sem a devida qualificação técnica. </w:t>
            </w:r>
            <w:r w:rsidR="00637067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Com base nessas discussões e na resposta</w:t>
            </w:r>
            <w:r w:rsid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anterior</w:t>
            </w:r>
            <w:r w:rsidR="00637067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Gerência Jurídica, a CEP-CAU/MG emitiu deliberação com os devidos esclarecimentos.</w:t>
            </w:r>
            <w:r w:rsidR="007B000B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 Gerente Técnica e de Fiscalização, Samira Houri, apresentou</w:t>
            </w:r>
            <w:r w:rsidR="00637067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ainda</w:t>
            </w:r>
            <w:r w:rsidR="007B000B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um caso específico que também gerou dúvida</w:t>
            </w:r>
            <w:r w:rsidR="00637067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s, qual seja</w:t>
            </w:r>
            <w:r w:rsid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: </w:t>
            </w:r>
            <w:r w:rsidR="007B000B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profissional com dupla formação (em arquitetura e urbanismo e em engenharia civil) e registro ativo em ambos os Conselhos Profissionais (</w:t>
            </w:r>
            <w:r w:rsid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CAU e CREA</w:t>
            </w:r>
            <w:r w:rsidR="007B000B" w:rsidRPr="00C068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) que, ao executar atividades técnicas do campo de atuação da arquitetura e urbanismo, emitiu Anotação de Responsabilidade Técnica (ART) no CREA-MG, ao invés de emitir Registro de Responsabilidade Técnica junto ao CAU. Após considerações, a CEP-CAU/MG orientou, para o caso concreto, pela abertura de processo de fiscalização por ausência de RRT. </w:t>
            </w:r>
          </w:p>
          <w:p w14:paraId="174F7BC4" w14:textId="192B2255" w:rsidR="0010775F" w:rsidRPr="00740BCD" w:rsidRDefault="005A7404" w:rsidP="000B7DF9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5A7404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  <w:p w14:paraId="6D518764" w14:textId="77777777" w:rsidR="00637067" w:rsidRPr="00637067" w:rsidRDefault="00AC7117" w:rsidP="00740BCD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 w:rsidRPr="00AC711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Proposta de metas para os indicadores de 2022:</w:t>
            </w:r>
            <w:r w:rsidR="00E34A8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a Gerente Técnica e de Fiscalização</w:t>
            </w:r>
            <w:r w:rsidR="0063706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="0063706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Samira Houri, realizou apresentação sobre o tema em epígrafe, e as metas da Comissão para os indicadores de 2022 foram discutidas, item a item. Os membros da CEP-CAU/MG aprovaram o quadro de metas dos indicadores com as seguintes observações:</w:t>
            </w:r>
          </w:p>
          <w:p w14:paraId="3BFD7D02" w14:textId="77777777" w:rsidR="00740BCD" w:rsidRPr="00ED3763" w:rsidRDefault="00637067" w:rsidP="00ED3763">
            <w:pPr>
              <w:pStyle w:val="PargrafodaLista"/>
              <w:numPr>
                <w:ilvl w:val="0"/>
                <w:numId w:val="20"/>
              </w:numPr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63706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Índice de eficiência na conclusã</w:t>
            </w:r>
            <w:r w:rsidR="00ED3763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o de processos de fiscalização </w:t>
            </w:r>
            <w:r w:rsidRPr="0063706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(%)</w:t>
            </w:r>
            <w:r w:rsidR="00ED3763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: considerando o peso dos processos referentes à fiscalização de Pessoas Jurídicas, basicamente em função do cadastro CNAE junto à Receita Federal, sugeriu-se a adoção de alguma medida educativa por parte do Setor de Fiscalização, que informou que irá considerar a questão, contudo, para o planejamento do ano que vem;</w:t>
            </w:r>
          </w:p>
          <w:p w14:paraId="052B17FC" w14:textId="77777777" w:rsidR="00ED3763" w:rsidRPr="00ED3763" w:rsidRDefault="00ED3763" w:rsidP="00ED3763">
            <w:pPr>
              <w:pStyle w:val="PargrafodaLista"/>
              <w:numPr>
                <w:ilvl w:val="0"/>
                <w:numId w:val="20"/>
              </w:numPr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ED3763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Índice da capacidade de articulação institucional para fiscalização (%)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: embora os dados sejam de interesse da CEP-CAU/MG, entende-se que este indicador deve ser medido e atualizado pela Gerência de Planejamento Estratégico – GEPLAN;</w:t>
            </w:r>
          </w:p>
          <w:p w14:paraId="34A7A2F2" w14:textId="703F26B8" w:rsidR="00ED3763" w:rsidRPr="000B7DF9" w:rsidRDefault="00ED3763" w:rsidP="000B7DF9">
            <w:pPr>
              <w:pStyle w:val="PargrafodaLista"/>
              <w:numPr>
                <w:ilvl w:val="0"/>
                <w:numId w:val="20"/>
              </w:numPr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ED3763">
              <w:rPr>
                <w:rFonts w:asciiTheme="majorHAnsi" w:eastAsia="Calibri" w:hAnsiTheme="majorHAnsi"/>
                <w:sz w:val="20"/>
                <w:szCs w:val="10"/>
                <w:lang w:val="pt-BR"/>
              </w:rPr>
              <w:t>Índice produtividade de fiscalização (%)</w:t>
            </w:r>
            <w:r>
              <w:rPr>
                <w:rFonts w:asciiTheme="majorHAnsi" w:eastAsia="Calibri" w:hAnsiTheme="majorHAnsi"/>
                <w:sz w:val="20"/>
                <w:szCs w:val="10"/>
                <w:lang w:val="pt-BR"/>
              </w:rPr>
              <w:t>: a Comissão interpretou que o indicador, conforme apresentado pelo CAU/BR, não apresenta um dado representativo da real produtividade da fiscalização. Sugeriu a revisão do indicador, que deve medir a produtividade por hora, por meio da inversão da razão utilizada como referência para o indicador. Ou seja, a sugestão é pela utilização, como indicador, da divisão do número de horas de fiscalização mensal pela quantidade de ações de fiscalização por mês.</w:t>
            </w:r>
          </w:p>
        </w:tc>
      </w:tr>
      <w:tr w:rsidR="00841D12" w:rsidRPr="009E5054" w14:paraId="293F36F8" w14:textId="77777777" w:rsidTr="00740BCD">
        <w:trPr>
          <w:trHeight w:val="803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12F3" w14:textId="06B18E12" w:rsidR="00841D12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1D539461" w14:textId="2040A2CF" w:rsidR="00841D12" w:rsidRPr="00740BCD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B117" w14:textId="466EEA97" w:rsidR="00841D12" w:rsidRPr="005535F8" w:rsidRDefault="007B000B" w:rsidP="00637067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2.1. </w:t>
            </w:r>
            <w:r w:rsidR="00637067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Foram emitidos os esclarecimentos solicitados por meio da </w:t>
            </w:r>
            <w:r w:rsidR="00595F97" w:rsidRPr="005535F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183.2.1</w:t>
            </w:r>
            <w:r w:rsidR="00744711" w:rsidRPr="005535F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/2021 – DCEP-CAU/MG</w:t>
            </w:r>
            <w:r w:rsidR="00744711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637067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744711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cuja versão final, após aprovação, por mensagem eletrônica, pelos membros da Comissão, deverá ser apensada ao Protocolo SICCAU N° </w:t>
            </w:r>
            <w:r w:rsidR="00595F97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1406093/</w:t>
            </w:r>
            <w:r w:rsidR="00744711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2021, e encaminhada à Presidência do CAU/MG, para conhecimento e devidos encaminhamentos.</w:t>
            </w:r>
          </w:p>
          <w:p w14:paraId="301E941A" w14:textId="77777777" w:rsidR="00ED3763" w:rsidRPr="005535F8" w:rsidRDefault="00ED3763" w:rsidP="00637067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2A70176B" w14:textId="278E78FA" w:rsidR="00ED3763" w:rsidRPr="00740BCD" w:rsidRDefault="00ED3763" w:rsidP="002A525F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2.2. Foi emitida a </w:t>
            </w:r>
            <w:r w:rsidRPr="005535F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183.2.2/2021</w:t>
            </w:r>
            <w:r w:rsidR="002A525F" w:rsidRPr="005535F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 que aprova a revisão das metas de indicadores da Comissão para o exercício de 2022</w:t>
            </w:r>
            <w:r w:rsidR="002A525F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243744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2A525F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cuja versão final, após aprovação, por mensagem eletrônica, pelos membros da Comissão, deverá</w:t>
            </w:r>
            <w:r w:rsidR="00B949CB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ser</w:t>
            </w:r>
            <w:r w:rsidR="00243744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apensada ao Protocolo SICCAU N° </w:t>
            </w:r>
            <w:r w:rsidR="00595F97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1406106</w:t>
            </w:r>
            <w:r w:rsidR="00243744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/2021, </w:t>
            </w:r>
            <w:r w:rsidR="002A525F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e encaminhada</w:t>
            </w:r>
            <w:r w:rsidR="00243744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à Presidênci</w:t>
            </w:r>
            <w:r w:rsidR="002A525F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 do CAU/MG, para conhecimento e devidos encaminhamentos.</w:t>
            </w:r>
          </w:p>
        </w:tc>
      </w:tr>
      <w:bookmarkEnd w:id="0"/>
      <w:tr w:rsidR="00A07397" w:rsidRPr="009E5054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10D5E" w14:textId="76A24C16" w:rsidR="00027361" w:rsidRPr="008724F5" w:rsidRDefault="00027361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9E5054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07F9E245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</w:t>
            </w:r>
            <w:r w:rsidR="00955C78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ANÁLISES TÉCNICAS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9C2FC9" w:rsidRPr="009E5054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4C398C" w14:textId="52950808" w:rsidR="009C2FC9" w:rsidRPr="008724F5" w:rsidRDefault="008B7B28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9C2FC9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C8E44D3" w14:textId="6ADD1D0C" w:rsidR="009E789F" w:rsidRPr="00AC7117" w:rsidRDefault="00AC7117" w:rsidP="002978BD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18"/>
                <w:szCs w:val="18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Discussão sobre emissão de Certidões de Acervo Técnico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5254F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membro titular da CEP-CAU/MG, Conselheiro Rafael Arantes, colocou em discussão os termos da Resolução CAU/BR N° 93/2014, que dispõe sobre a emissão de Certidões de Acervo Técnico com Atestado (CAT-A) pelo CAU, levantando a possibilidade desta Comissão sugerir ao CAU/BR a revisão deste instrumento; mencionou, a título de exemplificação, caso particular de uma CAT-A indeferida por ausência de endereço do contratante, dado que, a seu ver, seria dispensável, tendo em vista que o contratante, no caso em tela, era a Prefeitura Municipal de Belo Horizonte.</w:t>
            </w:r>
            <w:r w:rsidR="00753B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Após análise do texto</w:t>
            </w:r>
            <w:r w:rsidR="000204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normativo supracitado</w:t>
            </w:r>
            <w:r w:rsidR="00753B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discussões entre os membros da CEP-CAU/MG, concluiu-se que </w:t>
            </w:r>
            <w:r w:rsidR="00020413">
              <w:rPr>
                <w:rFonts w:asciiTheme="majorHAnsi" w:hAnsiTheme="majorHAnsi"/>
                <w:sz w:val="20"/>
                <w:szCs w:val="20"/>
                <w:lang w:val="pt-BR"/>
              </w:rPr>
              <w:t>uma alteração</w:t>
            </w:r>
            <w:r w:rsidR="00753B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0204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neste </w:t>
            </w:r>
            <w:r w:rsidR="00753B2A">
              <w:rPr>
                <w:rFonts w:asciiTheme="majorHAnsi" w:hAnsiTheme="majorHAnsi"/>
                <w:sz w:val="20"/>
                <w:szCs w:val="20"/>
                <w:lang w:val="pt-BR"/>
              </w:rPr>
              <w:t>normativo</w:t>
            </w:r>
            <w:r w:rsidR="00020413">
              <w:rPr>
                <w:rFonts w:asciiTheme="majorHAnsi" w:hAnsiTheme="majorHAnsi"/>
                <w:sz w:val="20"/>
                <w:szCs w:val="20"/>
                <w:lang w:val="pt-BR"/>
              </w:rPr>
              <w:t>, com a supressão da exigência do endereço do contratante, não seria viável e que a questão particular analisa resta sobre a discricionariedade do analista da demanda, ou seja, do corpo técnico do CAU/MG</w:t>
            </w:r>
            <w:r w:rsidR="00753B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não sendo pertinente, no momento, sugerir nenhuma mudança específica no texto da Resolução. Ponderou-se </w:t>
            </w:r>
            <w:r w:rsidR="00020413">
              <w:rPr>
                <w:rFonts w:asciiTheme="majorHAnsi" w:hAnsiTheme="majorHAnsi"/>
                <w:sz w:val="20"/>
                <w:szCs w:val="20"/>
                <w:lang w:val="pt-BR"/>
              </w:rPr>
              <w:t>ainda</w:t>
            </w:r>
            <w:r w:rsidR="00753B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todos os casos de indeferimento e recurso</w:t>
            </w:r>
            <w:r w:rsidR="00020413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753B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são encaminhados para esta Comissão para deliberação</w:t>
            </w:r>
            <w:r w:rsidR="00020413">
              <w:rPr>
                <w:rFonts w:asciiTheme="majorHAnsi" w:hAnsiTheme="majorHAnsi"/>
                <w:sz w:val="20"/>
                <w:szCs w:val="20"/>
                <w:lang w:val="pt-BR"/>
              </w:rPr>
              <w:t>, configurando uma revisão da discricionariedade do analista nestes casos</w:t>
            </w:r>
            <w:r w:rsidR="00753B2A">
              <w:rPr>
                <w:rFonts w:asciiTheme="majorHAnsi" w:hAnsiTheme="majorHAnsi"/>
                <w:sz w:val="20"/>
                <w:szCs w:val="20"/>
                <w:lang w:val="pt-BR"/>
              </w:rPr>
              <w:t>. O coordenador da Comissão sugeriu como solução</w:t>
            </w:r>
            <w:r w:rsidR="00020413">
              <w:rPr>
                <w:rFonts w:asciiTheme="majorHAnsi" w:hAnsiTheme="majorHAnsi"/>
                <w:sz w:val="20"/>
                <w:szCs w:val="20"/>
                <w:lang w:val="pt-BR"/>
              </w:rPr>
              <w:t>, neste primeiro momento,</w:t>
            </w:r>
            <w:r w:rsidR="00753B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020413">
              <w:rPr>
                <w:rFonts w:asciiTheme="majorHAnsi" w:hAnsiTheme="majorHAnsi"/>
                <w:sz w:val="20"/>
                <w:szCs w:val="20"/>
                <w:lang w:val="pt-BR"/>
              </w:rPr>
              <w:t>a realização de</w:t>
            </w:r>
            <w:r w:rsidR="00753B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contato diretamente com os responsáveis por essas análises no âmbito do CAU/MG, no que o Conselheiro Rafael Arantes concordou, reite</w:t>
            </w:r>
            <w:r w:rsidR="00020413">
              <w:rPr>
                <w:rFonts w:asciiTheme="majorHAnsi" w:hAnsiTheme="majorHAnsi"/>
                <w:sz w:val="20"/>
                <w:szCs w:val="20"/>
                <w:lang w:val="pt-BR"/>
              </w:rPr>
              <w:t>rando que poderia ser avaliada também a</w:t>
            </w:r>
            <w:r w:rsidR="00753B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possibilidade de um treinamento específico </w:t>
            </w:r>
            <w:r w:rsidR="00020413">
              <w:rPr>
                <w:rFonts w:asciiTheme="majorHAnsi" w:hAnsiTheme="majorHAnsi"/>
                <w:sz w:val="20"/>
                <w:szCs w:val="20"/>
                <w:lang w:val="pt-BR"/>
              </w:rPr>
              <w:t>sobre licitações e contratos junto aos colaboradores</w:t>
            </w:r>
            <w:r w:rsidR="00753B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CAU/MG.</w:t>
            </w:r>
          </w:p>
          <w:p w14:paraId="4B106DC3" w14:textId="55EDF730" w:rsidR="00BB53F0" w:rsidRPr="00043280" w:rsidRDefault="00BB53F0" w:rsidP="00AC7117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B7B28" w:rsidRPr="009E5054" w14:paraId="0A584DA3" w14:textId="77777777" w:rsidTr="00020413">
        <w:trPr>
          <w:trHeight w:val="71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62066E" w14:textId="77777777" w:rsidR="008B7B28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27B289" w14:textId="7CD95808" w:rsidR="008B7B28" w:rsidRPr="008724F5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8F92DA0" w14:textId="447F6AF5" w:rsidR="008B7B28" w:rsidRPr="00B30203" w:rsidRDefault="00753B2A" w:rsidP="008B7B2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deliberação. A Comissão irá buscar contato com o corpo técnico para esclarecimentos sobre o procedimento de análise de CAT-A, bem como para verificação quanto à possibilidade de realização de treinamento.</w:t>
            </w:r>
          </w:p>
        </w:tc>
      </w:tr>
      <w:tr w:rsidR="005A1D65" w:rsidRPr="009E5054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9DC98" w14:textId="56E319D1" w:rsidR="00027361" w:rsidRPr="008724F5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043280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017F9A7F" w:rsidR="005A1D65" w:rsidRPr="00144FD0" w:rsidRDefault="00AC7117" w:rsidP="006D4636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5A1D65" w:rsidRPr="009E5054" w14:paraId="5F3D463A" w14:textId="77777777" w:rsidTr="009E5054">
        <w:trPr>
          <w:trHeight w:val="182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C93EC3" w14:textId="685409EE" w:rsidR="005A1D65" w:rsidRPr="008724F5" w:rsidRDefault="00955C78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966EC71" w14:textId="72B94E9B" w:rsidR="00BD61BA" w:rsidRPr="0032291D" w:rsidRDefault="0032291D" w:rsidP="00BD61BA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32291D">
              <w:rPr>
                <w:rFonts w:asciiTheme="majorHAnsi" w:hAnsiTheme="majorHAnsi"/>
                <w:sz w:val="20"/>
                <w:szCs w:val="20"/>
                <w:lang w:val="pt-BR"/>
              </w:rPr>
              <w:t>Discussões sobre propostas de alteração da Resolução CAU/BR N° 91/2014</w:t>
            </w:r>
            <w:r w:rsidR="00BD61BA" w:rsidRP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O membro titular da CEP-CAU/MG, Conselheiro </w:t>
            </w:r>
            <w:r w:rsidR="00BD61BA" w:rsidRP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Ademir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Ávila, apresentou</w:t>
            </w:r>
            <w:r w:rsidR="00BD61BA" w:rsidRP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suas sugestões de alteração para a Res.</w:t>
            </w:r>
            <w:r w:rsidR="00322943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  <w:r w:rsidR="00322943" w:rsidRPr="0032291D">
              <w:rPr>
                <w:rFonts w:asciiTheme="majorHAnsi" w:hAnsiTheme="majorHAnsi"/>
                <w:sz w:val="20"/>
                <w:szCs w:val="20"/>
                <w:lang w:val="pt-BR"/>
              </w:rPr>
              <w:t>CAU/BR</w:t>
            </w:r>
            <w:r w:rsidR="00BD61BA" w:rsidRP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91</w:t>
            </w:r>
            <w:r w:rsidR="00322943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/2014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</w:t>
            </w:r>
            <w:r w:rsidR="00322943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conforme arquivo apresentado na reunião e disponibilizado aos demais membros da Comissão, que para fins de registro na presente súmula, registramos</w:t>
            </w:r>
            <w:r w:rsidR="00955C78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sucintamente</w:t>
            </w:r>
            <w:r w:rsidR="00322943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abaixo:</w:t>
            </w:r>
          </w:p>
          <w:p w14:paraId="4ABC6CCB" w14:textId="1158DD36" w:rsidR="00BD61BA" w:rsidRDefault="00BD61BA" w:rsidP="009E5054">
            <w:pPr>
              <w:pStyle w:val="PargrafodaLista"/>
              <w:numPr>
                <w:ilvl w:val="0"/>
                <w:numId w:val="19"/>
              </w:numPr>
              <w:ind w:left="714" w:hanging="357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Inciso III do art. 2°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  <w:r w:rsidR="000B7DF9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alteração dos critérios de tempestividade para anotação de RRT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;</w:t>
            </w:r>
          </w:p>
          <w:p w14:paraId="5F7A1630" w14:textId="617DBB4F" w:rsidR="00BD61BA" w:rsidRDefault="00BD61BA" w:rsidP="009E5054">
            <w:pPr>
              <w:pStyle w:val="PargrafodaLista"/>
              <w:numPr>
                <w:ilvl w:val="0"/>
                <w:numId w:val="19"/>
              </w:numPr>
              <w:ind w:left="714" w:hanging="357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Inciso II do art. 7°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: sugestão de isenção de cobrança de taxa de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RRT 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em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equipe, ou seja, 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os </w:t>
            </w:r>
            <w:proofErr w:type="spellStart"/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RRT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’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</w:t>
            </w:r>
            <w:proofErr w:type="spellEnd"/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secundários não gerariam taxa</w:t>
            </w:r>
            <w:r w:rsid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 partindo-se do entendimento de que é devida apenas uma taxa por atividade técnica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;</w:t>
            </w:r>
          </w:p>
          <w:p w14:paraId="66BA78D0" w14:textId="3ACC0278" w:rsidR="00BD61BA" w:rsidRDefault="0032291D" w:rsidP="009E5054">
            <w:pPr>
              <w:pStyle w:val="PargrafodaLista"/>
              <w:numPr>
                <w:ilvl w:val="0"/>
                <w:numId w:val="19"/>
              </w:numPr>
              <w:ind w:left="714" w:hanging="357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Inciso I do art. 8°: sugestão da possibilidade de emissão de RRT com todas as atividades técnicas, independentes de serem de grupos distintos;</w:t>
            </w:r>
          </w:p>
          <w:p w14:paraId="3F8781A6" w14:textId="73E1FD26" w:rsidR="0032291D" w:rsidRDefault="0032291D" w:rsidP="009E5054">
            <w:pPr>
              <w:pStyle w:val="PargrafodaLista"/>
              <w:numPr>
                <w:ilvl w:val="0"/>
                <w:numId w:val="19"/>
              </w:numPr>
              <w:ind w:left="714" w:hanging="357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Inciso II do art. 8°: alteração </w:t>
            </w:r>
            <w:r w:rsidR="00322943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na periodicidade do RRT múltiplo mensal, passando a ser contato para as atividades técnicas realizadas em um prazo corrido de 30 dias corridos, e não dentro de um mês específico;</w:t>
            </w:r>
          </w:p>
          <w:p w14:paraId="0D578EBD" w14:textId="3045C0BF" w:rsidR="00DD2A07" w:rsidRPr="00955C78" w:rsidRDefault="00322943" w:rsidP="009E5054">
            <w:pPr>
              <w:pStyle w:val="PargrafodaLista"/>
              <w:numPr>
                <w:ilvl w:val="0"/>
                <w:numId w:val="19"/>
              </w:numPr>
              <w:ind w:left="714" w:hanging="357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§ 1° do art. 16°: sugere a simplificação de documentos para emissão de RRT extemporâneo;</w:t>
            </w:r>
          </w:p>
          <w:p w14:paraId="1CEA2FED" w14:textId="32B9B129" w:rsidR="005A1D65" w:rsidRPr="009E5054" w:rsidRDefault="00DD2A07" w:rsidP="006D4636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Discussões sobre ICMS Cultural</w:t>
            </w:r>
            <w:r w:rsidR="00BD61B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O membro titular da CEP-CAU/MG, Conselheiro </w:t>
            </w:r>
            <w:r w:rsidRPr="00322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Ademir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Ávila informou que após levantamento de cidades com laudos enviados que possuem bens do patrimônio arquitetônico e urbanístico foram identificados 414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lastRenderedPageBreak/>
              <w:t>Municípios, e 485 cidades que encaminharam inventário e 92 com tombamentos de bens imóveis, conjuntos paisagísticos e urbanos. Considerando esta amostragem, e após consulta ao corpo técnico do CAU/MG, sugeriu-se a fiscalização de 10% dos processos existentes para o próximo ano, dando prioridade para a fiscalização dos municípios que se enquadrem nas 3 categorias, ou seja, que enviou laudo, inventário e possuem tombamentos.</w:t>
            </w:r>
          </w:p>
        </w:tc>
      </w:tr>
      <w:tr w:rsidR="00955C78" w:rsidRPr="009E5054" w14:paraId="09A1C90F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AB074A" w14:textId="77777777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5A26C803" w14:textId="22435643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FE19716" w14:textId="09A7591E" w:rsidR="00955C78" w:rsidRDefault="0069755D" w:rsidP="00955C78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4.1.Foi minutada a </w:t>
            </w:r>
            <w:r w:rsidR="00955C78" w:rsidRPr="005535F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183.4.1/2021</w:t>
            </w:r>
            <w:r w:rsidR="002A525F" w:rsidRPr="005535F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</w:t>
            </w:r>
            <w:r w:rsidRPr="005535F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DCEP-CAU/MG</w:t>
            </w:r>
            <w:r w:rsidR="00955C78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cuja versão final, após aprovação, por mensagem eletrônica, pelos membros da Comissão, </w:t>
            </w:r>
            <w:r w:rsidR="00955C78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deverá ser apensada ao Protocolo SICCAU N° </w:t>
            </w:r>
            <w:r w:rsidR="00384E21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1406083</w:t>
            </w:r>
            <w:r w:rsidR="00955C78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/2021, e encaminhada à Presidência do CAU/MG, 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para conhecimento e encaminhamentos</w:t>
            </w:r>
            <w:r w:rsidR="00955C78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;</w:t>
            </w:r>
          </w:p>
          <w:p w14:paraId="53EBF3FF" w14:textId="77777777" w:rsidR="00955C78" w:rsidRPr="009E5054" w:rsidRDefault="00955C78" w:rsidP="00955C78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1CD3EFC3" w14:textId="458FA1E0" w:rsidR="00955C78" w:rsidRPr="00B30203" w:rsidRDefault="00955C78" w:rsidP="00955C7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4.2. Não houve, por ora, emissão de deliberação. A matéria será discutida com maior profundidade em momento oportuno.</w:t>
            </w:r>
          </w:p>
        </w:tc>
      </w:tr>
      <w:tr w:rsidR="005A1D65" w:rsidRPr="009E5054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C0293" w14:textId="6C6E0613" w:rsidR="00027361" w:rsidRPr="008724F5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4649D" w:rsidRPr="00144FD0" w14:paraId="7625EA63" w14:textId="77777777" w:rsidTr="0034459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4B4D4A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DE0DA5D" w14:textId="6139DC6C" w:rsidR="0034649D" w:rsidRPr="00144FD0" w:rsidRDefault="0034649D" w:rsidP="0034649D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COMUNICADOS</w:t>
            </w:r>
          </w:p>
        </w:tc>
      </w:tr>
      <w:tr w:rsidR="0034649D" w:rsidRPr="009E5054" w14:paraId="3E350B6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9DD88B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20D8F768" w14:textId="6DCDEF10" w:rsidR="0034649D" w:rsidRPr="00027361" w:rsidRDefault="0034649D" w:rsidP="0034649D">
            <w:pPr>
              <w:pStyle w:val="PargrafodaLista"/>
              <w:numPr>
                <w:ilvl w:val="0"/>
                <w:numId w:val="21"/>
              </w:numPr>
              <w:rPr>
                <w:rFonts w:asciiTheme="majorHAnsi" w:eastAsia="Calibri" w:hAnsiTheme="majorHAnsi"/>
                <w:sz w:val="18"/>
                <w:szCs w:val="18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Comissão:</w:t>
            </w:r>
            <w:r w:rsidR="000273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comunicado sobre as discussões realizadas no âmbito da Comissão Temporária para a elaboração de sugestões de aprimoramento da Resolução CAU/BR N° 21/2012; informou que na última reunião foi elaborado um relatório referente a algumas atribuições profissionais (coordenação e compatibilização, Sistema de Proteção contra descargas atmosféricas – SPDA, entre outras) para encaminhamento ao Plenário do CAU/MG;</w:t>
            </w:r>
          </w:p>
          <w:p w14:paraId="6B1010D1" w14:textId="74444318" w:rsidR="0034649D" w:rsidRPr="0034649D" w:rsidRDefault="0034649D" w:rsidP="0034649D">
            <w:pPr>
              <w:pStyle w:val="PargrafodaLista"/>
              <w:numPr>
                <w:ilvl w:val="0"/>
                <w:numId w:val="21"/>
              </w:numPr>
              <w:rPr>
                <w:rFonts w:asciiTheme="majorHAnsi" w:eastAsia="Calibri" w:hAnsiTheme="majorHAnsi"/>
                <w:sz w:val="18"/>
                <w:szCs w:val="18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Dos demais membros:</w:t>
            </w:r>
            <w:r w:rsidR="000273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houve;</w:t>
            </w:r>
          </w:p>
          <w:p w14:paraId="2D129D9B" w14:textId="17A1E70F" w:rsidR="0034649D" w:rsidRPr="009E5054" w:rsidRDefault="0034649D" w:rsidP="009E5054">
            <w:pPr>
              <w:pStyle w:val="PargrafodaLista"/>
              <w:numPr>
                <w:ilvl w:val="0"/>
                <w:numId w:val="21"/>
              </w:numPr>
              <w:rPr>
                <w:rFonts w:asciiTheme="majorHAnsi" w:eastAsia="Calibri" w:hAnsiTheme="majorHAnsi"/>
                <w:sz w:val="18"/>
                <w:szCs w:val="18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Da assessoria técnica:</w:t>
            </w: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Assessor Técnico da Comissão, Darlan Oliveira, informou sobre mensagem eletrônica encaminhada pela Gerência Geral do CAU/MG na presente data solicitando a indicação, conforme previsto no edital, de um membro desta Comissão para composição de Comissão Julgadora da </w:t>
            </w:r>
            <w:r w:rsidRPr="0034649D">
              <w:rPr>
                <w:rFonts w:asciiTheme="majorHAnsi" w:hAnsiTheme="majorHAnsi"/>
                <w:sz w:val="20"/>
                <w:szCs w:val="20"/>
                <w:lang w:val="pt-BR"/>
              </w:rPr>
              <w:t>Premiação de Boas Práticas Urbanas: Ambiental, Saneamento e Social.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Após análise, definiu-se pela indicação do Coordenador da Comissão, Conselheiro Fábio Vieira.</w:t>
            </w:r>
            <w:r w:rsidRPr="0034649D"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> </w:t>
            </w:r>
          </w:p>
        </w:tc>
      </w:tr>
      <w:tr w:rsidR="0034649D" w:rsidRPr="00B30203" w14:paraId="6D44024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402CB21" w14:textId="2BE9080B" w:rsidR="0034649D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A37759F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CA83D49" w14:textId="3E4327B5" w:rsidR="0034649D" w:rsidRPr="00B30203" w:rsidRDefault="0034649D" w:rsidP="00344596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Em relação ao item “c”, informar sobre a indicação, por mensagem eletrônica, à Gerência Geral do CAU/MG.</w:t>
            </w:r>
            <w:r w:rsidR="000273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 solicitação de encaminhamentos para os demais itens.</w:t>
            </w:r>
          </w:p>
        </w:tc>
      </w:tr>
    </w:tbl>
    <w:p w14:paraId="4ADE6B44" w14:textId="77777777" w:rsidR="00AA0573" w:rsidRPr="00DA4678" w:rsidRDefault="00AA0573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9E5054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D22E01" w:rsidRDefault="009C2FC9" w:rsidP="00B83CC5">
            <w:pPr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D22E01">
              <w:rPr>
                <w:rFonts w:asciiTheme="majorHAnsi" w:eastAsia="Calibri" w:hAnsiTheme="majorHAnsi" w:cs="Times New Roman"/>
                <w:b/>
                <w:sz w:val="24"/>
                <w:szCs w:val="24"/>
                <w:lang w:val="pt-BR"/>
              </w:rPr>
              <w:t>COMISSÃO DE EXERCÍCIO PROFISSIONAL DO CAU/MG</w:t>
            </w:r>
          </w:p>
        </w:tc>
      </w:tr>
      <w:tr w:rsidR="009C2FC9" w:rsidRPr="00955C78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9E5054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E5054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50C338FE" w:rsidR="009C2FC9" w:rsidRPr="00035DCC" w:rsidRDefault="00F8363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E5054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C0A524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5D26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E5054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121EDC25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E5054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5E1D3573" w:rsidR="009C2FC9" w:rsidRPr="00035DCC" w:rsidRDefault="00846D3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2BEB3AC1" w:rsidR="009C2FC9" w:rsidRPr="009E5054" w:rsidRDefault="009C2FC9" w:rsidP="00B26BE0">
      <w:pPr>
        <w:rPr>
          <w:sz w:val="10"/>
          <w:szCs w:val="10"/>
          <w:lang w:val="pt-BR"/>
        </w:rPr>
      </w:pPr>
    </w:p>
    <w:p w14:paraId="1780646E" w14:textId="77777777" w:rsidR="009E5054" w:rsidRDefault="009E5054" w:rsidP="009E5054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3997F8B" w14:textId="77777777" w:rsidR="009E5054" w:rsidRDefault="009E5054" w:rsidP="009E505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9A8ED80" w14:textId="77777777" w:rsidR="009E5054" w:rsidRDefault="009E5054" w:rsidP="009E505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AC023F" w14:textId="77777777" w:rsidR="009E5054" w:rsidRDefault="009E5054" w:rsidP="009E505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51DEEDF2" w14:textId="77777777" w:rsidR="009E5054" w:rsidRDefault="009E5054" w:rsidP="009E505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05B4C8E" w14:textId="77777777" w:rsidR="009E5054" w:rsidRDefault="009E5054" w:rsidP="009E505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7994D626" w14:textId="77777777" w:rsidR="009E5054" w:rsidRDefault="009E5054" w:rsidP="009E505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7A39D3D4" w14:textId="77777777" w:rsidR="009E5054" w:rsidRPr="008724F5" w:rsidRDefault="009E5054" w:rsidP="00B26BE0">
      <w:pPr>
        <w:rPr>
          <w:sz w:val="20"/>
          <w:szCs w:val="20"/>
          <w:lang w:val="pt-BR"/>
        </w:rPr>
      </w:pPr>
    </w:p>
    <w:sectPr w:rsidR="009E5054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D2C0" w14:textId="77777777" w:rsidR="0072413E" w:rsidRDefault="0072413E">
      <w:r>
        <w:separator/>
      </w:r>
    </w:p>
  </w:endnote>
  <w:endnote w:type="continuationSeparator" w:id="0">
    <w:p w14:paraId="44FF6628" w14:textId="77777777" w:rsidR="0072413E" w:rsidRDefault="0072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9873" w14:textId="77777777" w:rsidR="0072413E" w:rsidRDefault="0072413E">
      <w:r>
        <w:separator/>
      </w:r>
    </w:p>
  </w:footnote>
  <w:footnote w:type="continuationSeparator" w:id="0">
    <w:p w14:paraId="10B634A8" w14:textId="77777777" w:rsidR="0072413E" w:rsidRDefault="0072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16"/>
  </w:num>
  <w:num w:numId="5">
    <w:abstractNumId w:val="7"/>
  </w:num>
  <w:num w:numId="6">
    <w:abstractNumId w:val="11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  <w:num w:numId="16">
    <w:abstractNumId w:val="17"/>
  </w:num>
  <w:num w:numId="17">
    <w:abstractNumId w:val="0"/>
  </w:num>
  <w:num w:numId="18">
    <w:abstractNumId w:val="13"/>
  </w:num>
  <w:num w:numId="19">
    <w:abstractNumId w:val="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3E44"/>
    <w:rsid w:val="00020413"/>
    <w:rsid w:val="00023035"/>
    <w:rsid w:val="00027361"/>
    <w:rsid w:val="00031B8A"/>
    <w:rsid w:val="00031ECC"/>
    <w:rsid w:val="00032F5C"/>
    <w:rsid w:val="00034EDE"/>
    <w:rsid w:val="00035DCC"/>
    <w:rsid w:val="00036140"/>
    <w:rsid w:val="00042ECB"/>
    <w:rsid w:val="00043280"/>
    <w:rsid w:val="00074F63"/>
    <w:rsid w:val="00084D7A"/>
    <w:rsid w:val="000B24B8"/>
    <w:rsid w:val="000B7DF9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4FD0"/>
    <w:rsid w:val="001533CF"/>
    <w:rsid w:val="001618BE"/>
    <w:rsid w:val="0017578F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27F29"/>
    <w:rsid w:val="00231EEB"/>
    <w:rsid w:val="00243744"/>
    <w:rsid w:val="002978BD"/>
    <w:rsid w:val="002A525F"/>
    <w:rsid w:val="002A57A5"/>
    <w:rsid w:val="002C216D"/>
    <w:rsid w:val="002D56F8"/>
    <w:rsid w:val="002E6385"/>
    <w:rsid w:val="00313C4E"/>
    <w:rsid w:val="00317D68"/>
    <w:rsid w:val="0032291D"/>
    <w:rsid w:val="00322943"/>
    <w:rsid w:val="00330D38"/>
    <w:rsid w:val="0033415D"/>
    <w:rsid w:val="003403DC"/>
    <w:rsid w:val="0034649D"/>
    <w:rsid w:val="00347790"/>
    <w:rsid w:val="003526E8"/>
    <w:rsid w:val="003574F9"/>
    <w:rsid w:val="0037114A"/>
    <w:rsid w:val="00384E21"/>
    <w:rsid w:val="003C1025"/>
    <w:rsid w:val="003D67E5"/>
    <w:rsid w:val="003F238D"/>
    <w:rsid w:val="00400BE8"/>
    <w:rsid w:val="0040101C"/>
    <w:rsid w:val="004019BC"/>
    <w:rsid w:val="00415641"/>
    <w:rsid w:val="0044192A"/>
    <w:rsid w:val="00475E5D"/>
    <w:rsid w:val="00481423"/>
    <w:rsid w:val="004A5592"/>
    <w:rsid w:val="004A65CC"/>
    <w:rsid w:val="004C4D47"/>
    <w:rsid w:val="004E5095"/>
    <w:rsid w:val="005202A3"/>
    <w:rsid w:val="005254F1"/>
    <w:rsid w:val="00544B65"/>
    <w:rsid w:val="0055266E"/>
    <w:rsid w:val="005535F8"/>
    <w:rsid w:val="00554EC4"/>
    <w:rsid w:val="00594763"/>
    <w:rsid w:val="00595F97"/>
    <w:rsid w:val="005A1D65"/>
    <w:rsid w:val="005A7404"/>
    <w:rsid w:val="005B017D"/>
    <w:rsid w:val="005D26D2"/>
    <w:rsid w:val="00610DB9"/>
    <w:rsid w:val="0061502B"/>
    <w:rsid w:val="006232E4"/>
    <w:rsid w:val="00637067"/>
    <w:rsid w:val="00655AD6"/>
    <w:rsid w:val="0066517D"/>
    <w:rsid w:val="00686D15"/>
    <w:rsid w:val="00692726"/>
    <w:rsid w:val="0069755D"/>
    <w:rsid w:val="006B1141"/>
    <w:rsid w:val="006B6454"/>
    <w:rsid w:val="006C0705"/>
    <w:rsid w:val="006D28CA"/>
    <w:rsid w:val="006D7BA9"/>
    <w:rsid w:val="006E6D2D"/>
    <w:rsid w:val="006F198E"/>
    <w:rsid w:val="00720A3D"/>
    <w:rsid w:val="0072413E"/>
    <w:rsid w:val="00726421"/>
    <w:rsid w:val="00740BCD"/>
    <w:rsid w:val="00744711"/>
    <w:rsid w:val="00744EAA"/>
    <w:rsid w:val="00747031"/>
    <w:rsid w:val="00753B2A"/>
    <w:rsid w:val="00761C87"/>
    <w:rsid w:val="007703A8"/>
    <w:rsid w:val="0079491D"/>
    <w:rsid w:val="007958C6"/>
    <w:rsid w:val="007B000B"/>
    <w:rsid w:val="007C4298"/>
    <w:rsid w:val="007C5270"/>
    <w:rsid w:val="007F1BD0"/>
    <w:rsid w:val="007F6D70"/>
    <w:rsid w:val="00805D2F"/>
    <w:rsid w:val="008169CE"/>
    <w:rsid w:val="00827AA5"/>
    <w:rsid w:val="00841D12"/>
    <w:rsid w:val="00845619"/>
    <w:rsid w:val="00846D3E"/>
    <w:rsid w:val="0084790C"/>
    <w:rsid w:val="008724F5"/>
    <w:rsid w:val="008B5E0B"/>
    <w:rsid w:val="008B6415"/>
    <w:rsid w:val="008B7B28"/>
    <w:rsid w:val="008C6FE0"/>
    <w:rsid w:val="008D6C47"/>
    <w:rsid w:val="00901AC9"/>
    <w:rsid w:val="00904DD2"/>
    <w:rsid w:val="00935944"/>
    <w:rsid w:val="00941BF7"/>
    <w:rsid w:val="00955C78"/>
    <w:rsid w:val="00960864"/>
    <w:rsid w:val="00967C2C"/>
    <w:rsid w:val="00975AF2"/>
    <w:rsid w:val="009916E7"/>
    <w:rsid w:val="009B3A08"/>
    <w:rsid w:val="009C023E"/>
    <w:rsid w:val="009C1FAC"/>
    <w:rsid w:val="009C2FC9"/>
    <w:rsid w:val="009D0851"/>
    <w:rsid w:val="009D124E"/>
    <w:rsid w:val="009E5054"/>
    <w:rsid w:val="009E789F"/>
    <w:rsid w:val="00A07397"/>
    <w:rsid w:val="00A12223"/>
    <w:rsid w:val="00A27652"/>
    <w:rsid w:val="00A74B63"/>
    <w:rsid w:val="00A760FF"/>
    <w:rsid w:val="00A76EBB"/>
    <w:rsid w:val="00A9080D"/>
    <w:rsid w:val="00AA0573"/>
    <w:rsid w:val="00AC55C8"/>
    <w:rsid w:val="00AC7117"/>
    <w:rsid w:val="00AD2D9C"/>
    <w:rsid w:val="00B10E1D"/>
    <w:rsid w:val="00B26BE0"/>
    <w:rsid w:val="00B30203"/>
    <w:rsid w:val="00B37AF7"/>
    <w:rsid w:val="00B44E9E"/>
    <w:rsid w:val="00B46377"/>
    <w:rsid w:val="00B66C82"/>
    <w:rsid w:val="00B71EF7"/>
    <w:rsid w:val="00B74B68"/>
    <w:rsid w:val="00B949CB"/>
    <w:rsid w:val="00B95357"/>
    <w:rsid w:val="00BB29FA"/>
    <w:rsid w:val="00BB53F0"/>
    <w:rsid w:val="00BB7825"/>
    <w:rsid w:val="00BD61BA"/>
    <w:rsid w:val="00BF1559"/>
    <w:rsid w:val="00C0686A"/>
    <w:rsid w:val="00C22179"/>
    <w:rsid w:val="00C5259B"/>
    <w:rsid w:val="00C6352D"/>
    <w:rsid w:val="00C73715"/>
    <w:rsid w:val="00C91F43"/>
    <w:rsid w:val="00CA5EF6"/>
    <w:rsid w:val="00CB5CAA"/>
    <w:rsid w:val="00CF2C23"/>
    <w:rsid w:val="00D07860"/>
    <w:rsid w:val="00D1503A"/>
    <w:rsid w:val="00D15B06"/>
    <w:rsid w:val="00D22E01"/>
    <w:rsid w:val="00D66B18"/>
    <w:rsid w:val="00D90689"/>
    <w:rsid w:val="00DA4678"/>
    <w:rsid w:val="00DA7171"/>
    <w:rsid w:val="00DC3D44"/>
    <w:rsid w:val="00DD2A07"/>
    <w:rsid w:val="00DE447E"/>
    <w:rsid w:val="00E0506C"/>
    <w:rsid w:val="00E203D1"/>
    <w:rsid w:val="00E32874"/>
    <w:rsid w:val="00E34A87"/>
    <w:rsid w:val="00E9616C"/>
    <w:rsid w:val="00EC722C"/>
    <w:rsid w:val="00ED3763"/>
    <w:rsid w:val="00F00BA5"/>
    <w:rsid w:val="00F0513A"/>
    <w:rsid w:val="00F11E8A"/>
    <w:rsid w:val="00F17FA6"/>
    <w:rsid w:val="00F460F0"/>
    <w:rsid w:val="00F64A1C"/>
    <w:rsid w:val="00F7051B"/>
    <w:rsid w:val="00F8363E"/>
    <w:rsid w:val="00FA7D4D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ACD6"/>
  <w15:docId w15:val="{C797A1C6-6FA8-409B-A4DD-A34A7E9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4D48-9988-43AA-A50A-6C844FF0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2117</Words>
  <Characters>11436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43</cp:revision>
  <cp:lastPrinted>2021-11-23T12:52:00Z</cp:lastPrinted>
  <dcterms:created xsi:type="dcterms:W3CDTF">2021-04-20T11:43:00Z</dcterms:created>
  <dcterms:modified xsi:type="dcterms:W3CDTF">2021-11-23T12:52:00Z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