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Layout w:type="fixed"/>
        <w:tblLook w:val="04A0" w:firstRow="1" w:lastRow="0" w:firstColumn="1" w:lastColumn="0" w:noHBand="0" w:noVBand="1"/>
      </w:tblPr>
      <w:tblGrid>
        <w:gridCol w:w="2375"/>
        <w:gridCol w:w="3573"/>
        <w:gridCol w:w="4240"/>
      </w:tblGrid>
      <w:tr w:rsidR="002A57A5" w:rsidRPr="00031B8A" w14:paraId="79A28747" w14:textId="77777777">
        <w:trPr>
          <w:trHeight w:val="692"/>
          <w:jc w:val="center"/>
        </w:trPr>
        <w:tc>
          <w:tcPr>
            <w:tcW w:w="10188" w:type="dxa"/>
            <w:gridSpan w:val="3"/>
            <w:shd w:val="clear" w:color="auto" w:fill="D9D9D9" w:themeFill="background1" w:themeFillShade="D9"/>
            <w:vAlign w:val="center"/>
          </w:tcPr>
          <w:p w14:paraId="100A33DE" w14:textId="5814EFD7" w:rsidR="002A57A5" w:rsidRDefault="007958C6">
            <w:pPr>
              <w:suppressLineNumbers/>
              <w:jc w:val="center"/>
              <w:rPr>
                <w:lang w:val="pt-BR"/>
              </w:rPr>
            </w:pPr>
            <w:bookmarkStart w:id="0" w:name="_GoBack"/>
            <w:bookmarkEnd w:id="0"/>
            <w:r>
              <w:rPr>
                <w:rFonts w:asciiTheme="majorHAnsi" w:eastAsia="Calibri" w:hAnsiTheme="majorHAnsi" w:cs="Times New Roman"/>
                <w:b/>
                <w:lang w:val="pt-BR"/>
              </w:rPr>
              <w:t>SÚMULA DA 17</w:t>
            </w:r>
            <w:r w:rsidR="00043280">
              <w:rPr>
                <w:rFonts w:asciiTheme="majorHAnsi" w:eastAsia="Calibri" w:hAnsiTheme="majorHAnsi" w:cs="Times New Roman"/>
                <w:b/>
                <w:lang w:val="pt-BR"/>
              </w:rPr>
              <w:t>6</w:t>
            </w:r>
            <w:r>
              <w:rPr>
                <w:rFonts w:asciiTheme="majorHAnsi" w:eastAsia="Calibri" w:hAnsiTheme="majorHAnsi" w:cs="Times New Roman"/>
                <w:b/>
                <w:lang w:val="pt-BR"/>
              </w:rPr>
              <w:t>ª REUNIÃO (ORDINÁRIA) DA</w:t>
            </w:r>
          </w:p>
          <w:p w14:paraId="72747B13" w14:textId="77777777" w:rsidR="002A57A5" w:rsidRDefault="007958C6">
            <w:pPr>
              <w:suppressLineNumbers/>
              <w:jc w:val="center"/>
              <w:rPr>
                <w:rFonts w:asciiTheme="majorHAnsi" w:hAnsiTheme="majorHAnsi" w:cs="Times New Roman"/>
                <w:sz w:val="26"/>
                <w:szCs w:val="26"/>
                <w:lang w:val="pt-BR"/>
              </w:rPr>
            </w:pPr>
            <w:r>
              <w:rPr>
                <w:rFonts w:asciiTheme="majorHAnsi" w:eastAsia="Calibri" w:hAnsiTheme="majorHAnsi" w:cs="Times New Roman"/>
                <w:b/>
                <w:sz w:val="26"/>
                <w:szCs w:val="26"/>
                <w:lang w:val="pt-BR"/>
              </w:rPr>
              <w:t>COMISSÃO DE EXERCÍCIO PROFISSIONAL – CEP-CAU/MG</w:t>
            </w:r>
          </w:p>
        </w:tc>
      </w:tr>
      <w:tr w:rsidR="002A57A5" w:rsidRPr="00031B8A"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Default="002A57A5">
            <w:pPr>
              <w:suppressLineNumbers/>
              <w:jc w:val="both"/>
              <w:rPr>
                <w:rFonts w:asciiTheme="majorHAnsi" w:hAnsiTheme="majorHAnsi" w:cs="Times New Roman"/>
                <w:sz w:val="10"/>
                <w:szCs w:val="10"/>
                <w:lang w:val="pt-BR"/>
              </w:rPr>
            </w:pPr>
          </w:p>
        </w:tc>
      </w:tr>
      <w:tr w:rsidR="002A57A5" w14:paraId="11085272" w14:textId="77777777">
        <w:trPr>
          <w:trHeight w:val="330"/>
          <w:jc w:val="center"/>
        </w:trPr>
        <w:tc>
          <w:tcPr>
            <w:tcW w:w="10188" w:type="dxa"/>
            <w:gridSpan w:val="3"/>
            <w:shd w:val="clear" w:color="auto" w:fill="D9D9D9" w:themeFill="background1" w:themeFillShade="D9"/>
            <w:vAlign w:val="center"/>
          </w:tcPr>
          <w:p w14:paraId="7EAB69D7"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1. LOCAL E DATA:</w:t>
            </w:r>
          </w:p>
        </w:tc>
      </w:tr>
      <w:tr w:rsidR="002A57A5" w14:paraId="4EAD2C86" w14:textId="77777777">
        <w:trPr>
          <w:trHeight w:val="330"/>
          <w:jc w:val="center"/>
        </w:trPr>
        <w:tc>
          <w:tcPr>
            <w:tcW w:w="2375" w:type="dxa"/>
            <w:shd w:val="clear" w:color="auto" w:fill="D9D9D9" w:themeFill="background1" w:themeFillShade="D9"/>
            <w:vAlign w:val="center"/>
          </w:tcPr>
          <w:p w14:paraId="074FA447"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DATA:</w:t>
            </w:r>
          </w:p>
        </w:tc>
        <w:tc>
          <w:tcPr>
            <w:tcW w:w="7813" w:type="dxa"/>
            <w:gridSpan w:val="2"/>
            <w:shd w:val="clear" w:color="auto" w:fill="auto"/>
            <w:vAlign w:val="center"/>
          </w:tcPr>
          <w:p w14:paraId="155DE880" w14:textId="440AC93B" w:rsidR="002A57A5" w:rsidRDefault="00043280" w:rsidP="00043280">
            <w:pPr>
              <w:suppressLineNumbers/>
              <w:jc w:val="both"/>
            </w:pPr>
            <w:r>
              <w:rPr>
                <w:rFonts w:asciiTheme="majorHAnsi" w:eastAsia="Calibri" w:hAnsiTheme="majorHAnsi" w:cs="Times New Roman"/>
                <w:sz w:val="20"/>
                <w:szCs w:val="20"/>
                <w:lang w:val="pt-BR"/>
              </w:rPr>
              <w:t>17</w:t>
            </w:r>
            <w:r w:rsidR="007958C6">
              <w:rPr>
                <w:rFonts w:asciiTheme="majorHAnsi" w:eastAsia="Calibri" w:hAnsiTheme="majorHAnsi" w:cs="Times New Roman"/>
                <w:sz w:val="20"/>
                <w:szCs w:val="20"/>
                <w:lang w:val="pt-BR"/>
              </w:rPr>
              <w:t xml:space="preserve"> de </w:t>
            </w:r>
            <w:r>
              <w:rPr>
                <w:rFonts w:asciiTheme="majorHAnsi" w:eastAsia="Calibri" w:hAnsiTheme="majorHAnsi" w:cs="Times New Roman"/>
                <w:sz w:val="20"/>
                <w:szCs w:val="20"/>
                <w:lang w:val="pt-BR"/>
              </w:rPr>
              <w:t>maio</w:t>
            </w:r>
            <w:r w:rsidR="007958C6">
              <w:rPr>
                <w:rFonts w:asciiTheme="majorHAnsi" w:eastAsia="Calibri" w:hAnsiTheme="majorHAnsi" w:cs="Times New Roman"/>
                <w:sz w:val="20"/>
                <w:szCs w:val="20"/>
                <w:lang w:val="pt-BR"/>
              </w:rPr>
              <w:t xml:space="preserve"> de 202</w:t>
            </w:r>
            <w:r w:rsidR="000B24B8">
              <w:rPr>
                <w:rFonts w:asciiTheme="majorHAnsi" w:eastAsia="Calibri" w:hAnsiTheme="majorHAnsi" w:cs="Times New Roman"/>
                <w:sz w:val="20"/>
                <w:szCs w:val="20"/>
                <w:lang w:val="pt-BR"/>
              </w:rPr>
              <w:t>1</w:t>
            </w:r>
          </w:p>
        </w:tc>
      </w:tr>
      <w:tr w:rsidR="002A57A5" w:rsidRPr="009916E7" w14:paraId="698B0460" w14:textId="77777777">
        <w:trPr>
          <w:trHeight w:val="330"/>
          <w:jc w:val="center"/>
        </w:trPr>
        <w:tc>
          <w:tcPr>
            <w:tcW w:w="2375" w:type="dxa"/>
            <w:shd w:val="clear" w:color="auto" w:fill="D9D9D9" w:themeFill="background1" w:themeFillShade="D9"/>
            <w:vAlign w:val="center"/>
          </w:tcPr>
          <w:p w14:paraId="6491E918"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LOCAL:</w:t>
            </w:r>
          </w:p>
        </w:tc>
        <w:tc>
          <w:tcPr>
            <w:tcW w:w="7813" w:type="dxa"/>
            <w:gridSpan w:val="2"/>
            <w:shd w:val="clear" w:color="auto" w:fill="auto"/>
            <w:vAlign w:val="center"/>
          </w:tcPr>
          <w:p w14:paraId="4CA82472"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[reunião realizada em ambiente virtual, através de videoconferência]</w:t>
            </w:r>
          </w:p>
        </w:tc>
      </w:tr>
      <w:tr w:rsidR="002A57A5" w14:paraId="6C7AC6E9" w14:textId="77777777">
        <w:trPr>
          <w:trHeight w:val="330"/>
          <w:jc w:val="center"/>
        </w:trPr>
        <w:tc>
          <w:tcPr>
            <w:tcW w:w="2375" w:type="dxa"/>
            <w:shd w:val="clear" w:color="auto" w:fill="D9D9D9" w:themeFill="background1" w:themeFillShade="D9"/>
            <w:vAlign w:val="center"/>
          </w:tcPr>
          <w:p w14:paraId="1533C459"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HORÁRIO:</w:t>
            </w:r>
          </w:p>
        </w:tc>
        <w:tc>
          <w:tcPr>
            <w:tcW w:w="7813" w:type="dxa"/>
            <w:gridSpan w:val="2"/>
            <w:shd w:val="clear" w:color="auto" w:fill="auto"/>
            <w:vAlign w:val="center"/>
          </w:tcPr>
          <w:p w14:paraId="7E004C44" w14:textId="4C01BA8D" w:rsidR="002A57A5" w:rsidRDefault="00043280" w:rsidP="00043280">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13</w:t>
            </w:r>
            <w:r w:rsidR="007958C6">
              <w:rPr>
                <w:rFonts w:asciiTheme="majorHAnsi" w:eastAsia="Calibri" w:hAnsiTheme="majorHAnsi" w:cs="Times New Roman"/>
                <w:sz w:val="20"/>
                <w:szCs w:val="20"/>
                <w:lang w:val="pt-BR"/>
              </w:rPr>
              <w:t>h</w:t>
            </w:r>
            <w:r>
              <w:rPr>
                <w:rFonts w:asciiTheme="majorHAnsi" w:eastAsia="Calibri" w:hAnsiTheme="majorHAnsi" w:cs="Times New Roman"/>
                <w:sz w:val="20"/>
                <w:szCs w:val="20"/>
                <w:lang w:val="pt-BR"/>
              </w:rPr>
              <w:t>0</w:t>
            </w:r>
            <w:r w:rsidR="007958C6">
              <w:rPr>
                <w:rFonts w:asciiTheme="majorHAnsi" w:eastAsia="Calibri" w:hAnsiTheme="majorHAnsi" w:cs="Times New Roman"/>
                <w:sz w:val="20"/>
                <w:szCs w:val="20"/>
                <w:lang w:val="pt-BR"/>
              </w:rPr>
              <w:t>0min – 17h00min</w:t>
            </w:r>
          </w:p>
        </w:tc>
      </w:tr>
      <w:tr w:rsidR="002A57A5"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2A57A5" w:rsidRDefault="002A57A5">
            <w:pPr>
              <w:suppressLineNumbers/>
              <w:jc w:val="both"/>
              <w:rPr>
                <w:rFonts w:asciiTheme="majorHAnsi" w:hAnsiTheme="majorHAnsi" w:cs="Times New Roman"/>
                <w:sz w:val="10"/>
                <w:szCs w:val="10"/>
                <w:lang w:val="pt-BR"/>
              </w:rPr>
            </w:pPr>
          </w:p>
        </w:tc>
      </w:tr>
      <w:tr w:rsidR="002A57A5" w14:paraId="49565CAD" w14:textId="77777777">
        <w:trPr>
          <w:trHeight w:val="330"/>
          <w:jc w:val="center"/>
        </w:trPr>
        <w:tc>
          <w:tcPr>
            <w:tcW w:w="10188" w:type="dxa"/>
            <w:gridSpan w:val="3"/>
            <w:shd w:val="clear" w:color="auto" w:fill="D9D9D9" w:themeFill="background1" w:themeFillShade="D9"/>
            <w:vAlign w:val="center"/>
          </w:tcPr>
          <w:p w14:paraId="0E50B5AD"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2. PARTICIPAÇÃO:</w:t>
            </w:r>
          </w:p>
        </w:tc>
      </w:tr>
      <w:tr w:rsidR="000B24B8" w:rsidRPr="000B24B8" w14:paraId="41EDFF95" w14:textId="77777777">
        <w:trPr>
          <w:trHeight w:val="330"/>
          <w:jc w:val="center"/>
        </w:trPr>
        <w:tc>
          <w:tcPr>
            <w:tcW w:w="2375" w:type="dxa"/>
            <w:shd w:val="clear" w:color="auto" w:fill="D9D9D9" w:themeFill="background1" w:themeFillShade="D9"/>
            <w:vAlign w:val="center"/>
          </w:tcPr>
          <w:p w14:paraId="112E46D8" w14:textId="77777777" w:rsidR="000B24B8" w:rsidRDefault="000B24B8" w:rsidP="000B24B8">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PRESIDIDA POR:</w:t>
            </w:r>
          </w:p>
        </w:tc>
        <w:tc>
          <w:tcPr>
            <w:tcW w:w="3573" w:type="dxa"/>
            <w:shd w:val="clear" w:color="auto" w:fill="auto"/>
            <w:vAlign w:val="center"/>
          </w:tcPr>
          <w:p w14:paraId="376098D2" w14:textId="1DE731A3" w:rsidR="000B24B8" w:rsidRPr="00B37AF7" w:rsidRDefault="000B24B8" w:rsidP="000B24B8">
            <w:pPr>
              <w:suppressLineNumbers/>
              <w:jc w:val="both"/>
              <w:rPr>
                <w:rFonts w:asciiTheme="majorHAnsi" w:hAnsiTheme="majorHAnsi" w:cs="Times New Roman"/>
                <w:b/>
                <w:sz w:val="20"/>
                <w:szCs w:val="20"/>
                <w:lang w:val="pt-BR"/>
              </w:rPr>
            </w:pPr>
            <w:r w:rsidRPr="00B37AF7">
              <w:rPr>
                <w:rFonts w:asciiTheme="majorHAnsi" w:eastAsia="Calibri" w:hAnsiTheme="majorHAnsi" w:cs="Times New Roman"/>
                <w:b/>
                <w:sz w:val="20"/>
                <w:szCs w:val="20"/>
                <w:lang w:val="pt-BR"/>
              </w:rPr>
              <w:t>Fábio Almeida Vieira</w:t>
            </w:r>
          </w:p>
        </w:tc>
        <w:tc>
          <w:tcPr>
            <w:tcW w:w="4240" w:type="dxa"/>
            <w:shd w:val="clear" w:color="auto" w:fill="auto"/>
            <w:vAlign w:val="center"/>
          </w:tcPr>
          <w:p w14:paraId="0FD38DA7" w14:textId="416D2768" w:rsidR="000B24B8" w:rsidRPr="00B37AF7" w:rsidRDefault="000B24B8" w:rsidP="000B24B8">
            <w:pPr>
              <w:suppressLineNumbers/>
              <w:jc w:val="both"/>
              <w:rPr>
                <w:rFonts w:asciiTheme="majorHAnsi" w:hAnsiTheme="majorHAnsi" w:cs="Times New Roman"/>
                <w:sz w:val="20"/>
                <w:szCs w:val="20"/>
                <w:lang w:val="pt-BR"/>
              </w:rPr>
            </w:pPr>
            <w:r w:rsidRPr="00B37AF7">
              <w:rPr>
                <w:rFonts w:asciiTheme="majorHAnsi" w:eastAsia="Calibri" w:hAnsiTheme="majorHAnsi" w:cs="Times New Roman"/>
                <w:sz w:val="20"/>
                <w:szCs w:val="20"/>
                <w:lang w:val="pt-BR"/>
              </w:rPr>
              <w:t>Coordenador</w:t>
            </w:r>
            <w:r w:rsidR="00692726" w:rsidRPr="00B37AF7">
              <w:rPr>
                <w:rFonts w:asciiTheme="majorHAnsi" w:eastAsia="Calibri" w:hAnsiTheme="majorHAnsi" w:cs="Times New Roman"/>
                <w:sz w:val="20"/>
                <w:szCs w:val="20"/>
                <w:lang w:val="pt-BR"/>
              </w:rPr>
              <w:t xml:space="preserve"> da Comissão</w:t>
            </w:r>
          </w:p>
        </w:tc>
      </w:tr>
      <w:tr w:rsidR="00074F63" w:rsidRPr="00F8363E" w14:paraId="6BD75A28" w14:textId="77777777">
        <w:trPr>
          <w:trHeight w:val="330"/>
          <w:jc w:val="center"/>
        </w:trPr>
        <w:tc>
          <w:tcPr>
            <w:tcW w:w="2375" w:type="dxa"/>
            <w:vMerge w:val="restart"/>
            <w:shd w:val="clear" w:color="auto" w:fill="D9D9D9" w:themeFill="background1" w:themeFillShade="D9"/>
            <w:vAlign w:val="center"/>
          </w:tcPr>
          <w:p w14:paraId="6272CEA5" w14:textId="77777777" w:rsidR="00074F63" w:rsidRDefault="00074F63" w:rsidP="00BB7825">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PARTICIPANTES:</w:t>
            </w:r>
          </w:p>
        </w:tc>
        <w:tc>
          <w:tcPr>
            <w:tcW w:w="3573" w:type="dxa"/>
            <w:shd w:val="clear" w:color="auto" w:fill="auto"/>
            <w:vAlign w:val="center"/>
          </w:tcPr>
          <w:p w14:paraId="696E6FC6" w14:textId="4D0B11CE" w:rsidR="00074F63" w:rsidRPr="00B37AF7" w:rsidRDefault="00F8363E" w:rsidP="00BB7825">
            <w:pPr>
              <w:suppressLineNumbers/>
              <w:jc w:val="both"/>
              <w:rPr>
                <w:rFonts w:asciiTheme="majorHAnsi" w:hAnsiTheme="majorHAnsi" w:cs="Times New Roman"/>
                <w:b/>
                <w:sz w:val="20"/>
                <w:szCs w:val="20"/>
                <w:lang w:val="pt-BR"/>
              </w:rPr>
            </w:pPr>
            <w:r w:rsidRPr="00F8363E">
              <w:rPr>
                <w:rFonts w:asciiTheme="majorHAnsi" w:hAnsiTheme="majorHAnsi" w:cs="Times New Roman"/>
                <w:b/>
                <w:sz w:val="20"/>
                <w:szCs w:val="20"/>
                <w:lang w:val="pt-BR"/>
              </w:rPr>
              <w:t>Lucas Lima Leonel Fonseca</w:t>
            </w:r>
          </w:p>
        </w:tc>
        <w:tc>
          <w:tcPr>
            <w:tcW w:w="4240" w:type="dxa"/>
            <w:shd w:val="clear" w:color="auto" w:fill="auto"/>
            <w:vAlign w:val="center"/>
          </w:tcPr>
          <w:p w14:paraId="4CC2E4FB" w14:textId="142623E8" w:rsidR="00074F63" w:rsidRPr="00B37AF7" w:rsidRDefault="00F8363E" w:rsidP="00F8363E">
            <w:pPr>
              <w:suppressLineNumbers/>
              <w:jc w:val="both"/>
              <w:rPr>
                <w:rFonts w:asciiTheme="majorHAnsi" w:hAnsiTheme="majorHAnsi" w:cs="Times New Roman"/>
                <w:sz w:val="20"/>
                <w:szCs w:val="20"/>
                <w:lang w:val="pt-BR"/>
              </w:rPr>
            </w:pPr>
            <w:r w:rsidRPr="00B37AF7">
              <w:rPr>
                <w:rFonts w:asciiTheme="majorHAnsi" w:eastAsia="Calibri" w:hAnsiTheme="majorHAnsi" w:cs="Times New Roman"/>
                <w:sz w:val="20"/>
                <w:szCs w:val="20"/>
                <w:lang w:val="pt-BR"/>
              </w:rPr>
              <w:t>Coor</w:t>
            </w:r>
            <w:r>
              <w:rPr>
                <w:rFonts w:asciiTheme="majorHAnsi" w:eastAsia="Calibri" w:hAnsiTheme="majorHAnsi" w:cs="Times New Roman"/>
                <w:sz w:val="20"/>
                <w:szCs w:val="20"/>
                <w:lang w:val="pt-BR"/>
              </w:rPr>
              <w:t xml:space="preserve">d. Adjunto </w:t>
            </w:r>
            <w:r w:rsidRPr="00B37AF7">
              <w:rPr>
                <w:rFonts w:asciiTheme="majorHAnsi" w:eastAsia="Calibri" w:hAnsiTheme="majorHAnsi" w:cs="Times New Roman"/>
                <w:sz w:val="20"/>
                <w:szCs w:val="20"/>
                <w:lang w:val="pt-BR"/>
              </w:rPr>
              <w:t>da Comissão</w:t>
            </w:r>
          </w:p>
        </w:tc>
      </w:tr>
      <w:tr w:rsidR="00074F63" w:rsidRPr="00F8363E" w14:paraId="78F1E921" w14:textId="77777777">
        <w:trPr>
          <w:trHeight w:val="330"/>
          <w:jc w:val="center"/>
        </w:trPr>
        <w:tc>
          <w:tcPr>
            <w:tcW w:w="2375" w:type="dxa"/>
            <w:vMerge/>
            <w:shd w:val="clear" w:color="auto" w:fill="D9D9D9" w:themeFill="background1" w:themeFillShade="D9"/>
            <w:vAlign w:val="center"/>
          </w:tcPr>
          <w:p w14:paraId="3FAA9CBA" w14:textId="77777777" w:rsidR="00074F63" w:rsidRDefault="00074F63" w:rsidP="00BB7825">
            <w:pPr>
              <w:suppressLineNumbers/>
              <w:jc w:val="both"/>
              <w:rPr>
                <w:rFonts w:asciiTheme="majorHAnsi" w:hAnsiTheme="majorHAnsi" w:cs="Times New Roman"/>
                <w:sz w:val="20"/>
                <w:szCs w:val="20"/>
                <w:lang w:val="pt-BR"/>
              </w:rPr>
            </w:pPr>
          </w:p>
        </w:tc>
        <w:tc>
          <w:tcPr>
            <w:tcW w:w="3573" w:type="dxa"/>
            <w:shd w:val="clear" w:color="auto" w:fill="auto"/>
            <w:vAlign w:val="center"/>
          </w:tcPr>
          <w:p w14:paraId="0F4B7081" w14:textId="58ABACA5" w:rsidR="00074F63" w:rsidRPr="00B37AF7" w:rsidRDefault="00F8363E" w:rsidP="00BB7825">
            <w:pPr>
              <w:suppressLineNumbers/>
              <w:jc w:val="both"/>
              <w:rPr>
                <w:rFonts w:asciiTheme="majorHAnsi" w:hAnsiTheme="majorHAnsi" w:cs="Times New Roman"/>
                <w:b/>
                <w:sz w:val="20"/>
                <w:szCs w:val="20"/>
                <w:lang w:val="pt-BR"/>
              </w:rPr>
            </w:pPr>
            <w:r w:rsidRPr="00B37AF7">
              <w:rPr>
                <w:rFonts w:asciiTheme="majorHAnsi" w:eastAsia="Calibri" w:hAnsiTheme="majorHAnsi" w:cs="Times New Roman"/>
                <w:b/>
                <w:sz w:val="20"/>
                <w:szCs w:val="20"/>
                <w:lang w:val="pt-BR"/>
              </w:rPr>
              <w:t>Ademir Nogueira de Ávila</w:t>
            </w:r>
          </w:p>
        </w:tc>
        <w:tc>
          <w:tcPr>
            <w:tcW w:w="4240" w:type="dxa"/>
            <w:shd w:val="clear" w:color="auto" w:fill="auto"/>
            <w:vAlign w:val="center"/>
          </w:tcPr>
          <w:p w14:paraId="5C27ABAD" w14:textId="0F50F25D" w:rsidR="00074F63" w:rsidRPr="00B37AF7" w:rsidRDefault="00F8363E" w:rsidP="00043280">
            <w:pPr>
              <w:suppressLineNumbers/>
              <w:jc w:val="both"/>
              <w:rPr>
                <w:rFonts w:asciiTheme="majorHAns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074F63" w:rsidRPr="00F8363E" w14:paraId="6A528A5F" w14:textId="77777777">
        <w:trPr>
          <w:trHeight w:val="330"/>
          <w:jc w:val="center"/>
        </w:trPr>
        <w:tc>
          <w:tcPr>
            <w:tcW w:w="2375" w:type="dxa"/>
            <w:vMerge/>
            <w:shd w:val="clear" w:color="auto" w:fill="D9D9D9" w:themeFill="background1" w:themeFillShade="D9"/>
            <w:vAlign w:val="center"/>
          </w:tcPr>
          <w:p w14:paraId="516C75A6" w14:textId="77777777" w:rsidR="00074F63" w:rsidRDefault="00074F63" w:rsidP="00BB7825">
            <w:pPr>
              <w:suppressLineNumbers/>
              <w:jc w:val="both"/>
              <w:rPr>
                <w:rFonts w:asciiTheme="majorHAnsi" w:hAnsiTheme="majorHAnsi" w:cs="Times New Roman"/>
                <w:sz w:val="20"/>
                <w:szCs w:val="20"/>
                <w:lang w:val="pt-BR"/>
              </w:rPr>
            </w:pPr>
          </w:p>
        </w:tc>
        <w:tc>
          <w:tcPr>
            <w:tcW w:w="3573" w:type="dxa"/>
            <w:shd w:val="clear" w:color="auto" w:fill="auto"/>
            <w:vAlign w:val="center"/>
          </w:tcPr>
          <w:p w14:paraId="48EA4E07" w14:textId="439CA4DE" w:rsidR="00074F63" w:rsidRPr="00B37AF7" w:rsidRDefault="00074F63" w:rsidP="00BB7825">
            <w:pPr>
              <w:suppressLineNumbers/>
              <w:jc w:val="both"/>
              <w:rPr>
                <w:rFonts w:asciiTheme="majorHAnsi" w:eastAsia="Calibri" w:hAnsiTheme="majorHAnsi" w:cs="Times New Roman"/>
                <w:b/>
                <w:sz w:val="20"/>
                <w:szCs w:val="20"/>
                <w:lang w:val="pt-BR"/>
              </w:rPr>
            </w:pPr>
            <w:r w:rsidRPr="00B37AF7">
              <w:rPr>
                <w:rFonts w:asciiTheme="majorHAnsi" w:eastAsia="Calibri" w:hAnsiTheme="majorHAnsi" w:cs="Times New Roman"/>
                <w:b/>
                <w:sz w:val="20"/>
                <w:szCs w:val="20"/>
                <w:lang w:val="pt-BR"/>
              </w:rPr>
              <w:t>Felipe Colmanetti Moura</w:t>
            </w:r>
          </w:p>
        </w:tc>
        <w:tc>
          <w:tcPr>
            <w:tcW w:w="4240" w:type="dxa"/>
            <w:shd w:val="clear" w:color="auto" w:fill="auto"/>
            <w:vAlign w:val="center"/>
          </w:tcPr>
          <w:p w14:paraId="5FC02B86" w14:textId="379523AC" w:rsidR="00074F63" w:rsidRPr="00B37AF7" w:rsidRDefault="00074F63"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074F63" w:rsidRPr="00F8363E" w14:paraId="10C51EDA" w14:textId="77777777">
        <w:trPr>
          <w:trHeight w:val="330"/>
          <w:jc w:val="center"/>
        </w:trPr>
        <w:tc>
          <w:tcPr>
            <w:tcW w:w="2375" w:type="dxa"/>
            <w:vMerge/>
            <w:shd w:val="clear" w:color="auto" w:fill="D9D9D9" w:themeFill="background1" w:themeFillShade="D9"/>
            <w:vAlign w:val="center"/>
          </w:tcPr>
          <w:p w14:paraId="0E06023B" w14:textId="77777777" w:rsidR="00074F63" w:rsidRDefault="00074F63" w:rsidP="00BB7825">
            <w:pPr>
              <w:suppressLineNumbers/>
              <w:jc w:val="both"/>
              <w:rPr>
                <w:rFonts w:asciiTheme="majorHAnsi" w:hAnsiTheme="majorHAnsi" w:cs="Times New Roman"/>
                <w:sz w:val="20"/>
                <w:szCs w:val="20"/>
                <w:lang w:val="pt-BR"/>
              </w:rPr>
            </w:pPr>
          </w:p>
        </w:tc>
        <w:tc>
          <w:tcPr>
            <w:tcW w:w="3573" w:type="dxa"/>
            <w:shd w:val="clear" w:color="auto" w:fill="auto"/>
            <w:vAlign w:val="center"/>
          </w:tcPr>
          <w:p w14:paraId="17904643" w14:textId="5980BE80" w:rsidR="00074F63" w:rsidRPr="00B37AF7" w:rsidRDefault="00131ADC" w:rsidP="00BB7825">
            <w:pPr>
              <w:suppressLineNumbers/>
              <w:jc w:val="both"/>
              <w:rPr>
                <w:rFonts w:asciiTheme="majorHAnsi" w:eastAsia="Calibri" w:hAnsiTheme="majorHAnsi" w:cs="Times New Roman"/>
                <w:b/>
                <w:sz w:val="20"/>
                <w:szCs w:val="20"/>
                <w:lang w:val="pt-BR"/>
              </w:rPr>
            </w:pPr>
            <w:r w:rsidRPr="00131ADC">
              <w:rPr>
                <w:rFonts w:asciiTheme="majorHAnsi" w:eastAsia="Calibri" w:hAnsiTheme="majorHAnsi" w:cs="Times New Roman"/>
                <w:b/>
                <w:sz w:val="20"/>
                <w:szCs w:val="20"/>
                <w:lang w:val="pt-BR"/>
              </w:rPr>
              <w:t>Rafael Decina Arantes</w:t>
            </w:r>
          </w:p>
        </w:tc>
        <w:tc>
          <w:tcPr>
            <w:tcW w:w="4240" w:type="dxa"/>
            <w:shd w:val="clear" w:color="auto" w:fill="auto"/>
            <w:vAlign w:val="center"/>
          </w:tcPr>
          <w:p w14:paraId="14E42DFE" w14:textId="6CA4AB3C" w:rsidR="00074F63" w:rsidRPr="00B37AF7" w:rsidRDefault="00074F63"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 xml:space="preserve">Membro </w:t>
            </w:r>
            <w:r w:rsidR="00131ADC" w:rsidRPr="00B37AF7">
              <w:rPr>
                <w:rFonts w:asciiTheme="majorHAnsi" w:eastAsia="Calibri" w:hAnsiTheme="majorHAnsi" w:cs="Times New Roman"/>
                <w:sz w:val="20"/>
                <w:szCs w:val="20"/>
                <w:lang w:val="pt-BR"/>
              </w:rPr>
              <w:t>Titular</w:t>
            </w:r>
          </w:p>
        </w:tc>
      </w:tr>
      <w:tr w:rsidR="00074F63" w:rsidRPr="000B24B8" w14:paraId="72C747CB" w14:textId="77777777">
        <w:trPr>
          <w:trHeight w:val="330"/>
          <w:jc w:val="center"/>
        </w:trPr>
        <w:tc>
          <w:tcPr>
            <w:tcW w:w="2375" w:type="dxa"/>
            <w:vMerge/>
            <w:shd w:val="clear" w:color="auto" w:fill="D9D9D9" w:themeFill="background1" w:themeFillShade="D9"/>
            <w:vAlign w:val="center"/>
          </w:tcPr>
          <w:p w14:paraId="5EB6A74A" w14:textId="77777777" w:rsidR="00074F63" w:rsidRDefault="00074F63" w:rsidP="00BB7825">
            <w:pPr>
              <w:suppressLineNumbers/>
              <w:jc w:val="both"/>
              <w:rPr>
                <w:rFonts w:asciiTheme="majorHAnsi" w:hAnsiTheme="majorHAnsi" w:cs="Times New Roman"/>
                <w:sz w:val="20"/>
                <w:szCs w:val="20"/>
                <w:lang w:val="pt-BR"/>
              </w:rPr>
            </w:pPr>
          </w:p>
        </w:tc>
        <w:tc>
          <w:tcPr>
            <w:tcW w:w="3573" w:type="dxa"/>
            <w:shd w:val="clear" w:color="auto" w:fill="auto"/>
            <w:vAlign w:val="center"/>
          </w:tcPr>
          <w:p w14:paraId="203CB340" w14:textId="213036F1" w:rsidR="00074F63" w:rsidRPr="00B37AF7" w:rsidRDefault="00074F63" w:rsidP="00BB7825">
            <w:pPr>
              <w:suppressLineNumbers/>
              <w:jc w:val="both"/>
              <w:rPr>
                <w:rFonts w:asciiTheme="majorHAnsi" w:eastAsia="Calibri" w:hAnsiTheme="majorHAnsi" w:cs="Times New Roman"/>
                <w:b/>
                <w:sz w:val="20"/>
                <w:szCs w:val="20"/>
                <w:lang w:val="pt-BR"/>
              </w:rPr>
            </w:pPr>
            <w:r w:rsidRPr="00B37AF7">
              <w:rPr>
                <w:rFonts w:asciiTheme="majorHAnsi" w:eastAsia="Calibri" w:hAnsiTheme="majorHAnsi" w:cs="Times New Roman"/>
                <w:b/>
                <w:sz w:val="20"/>
                <w:szCs w:val="20"/>
                <w:lang w:val="pt-BR"/>
              </w:rPr>
              <w:t>Samira de Almeida Houri</w:t>
            </w:r>
          </w:p>
        </w:tc>
        <w:tc>
          <w:tcPr>
            <w:tcW w:w="4240" w:type="dxa"/>
            <w:shd w:val="clear" w:color="auto" w:fill="auto"/>
            <w:vAlign w:val="center"/>
          </w:tcPr>
          <w:p w14:paraId="53B57145" w14:textId="1E89B705" w:rsidR="00074F63" w:rsidRPr="00B37AF7" w:rsidRDefault="00074F63"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Gerente de Fiscalização</w:t>
            </w:r>
          </w:p>
        </w:tc>
      </w:tr>
      <w:tr w:rsidR="00074F63" w:rsidRPr="000B24B8" w14:paraId="30B1400E" w14:textId="77777777">
        <w:trPr>
          <w:trHeight w:val="330"/>
          <w:jc w:val="center"/>
        </w:trPr>
        <w:tc>
          <w:tcPr>
            <w:tcW w:w="2375" w:type="dxa"/>
            <w:vMerge/>
            <w:shd w:val="clear" w:color="auto" w:fill="D9D9D9" w:themeFill="background1" w:themeFillShade="D9"/>
            <w:vAlign w:val="center"/>
          </w:tcPr>
          <w:p w14:paraId="2A6FAEB7" w14:textId="77777777" w:rsidR="00074F63" w:rsidRDefault="00074F63" w:rsidP="00BB7825">
            <w:pPr>
              <w:suppressLineNumbers/>
              <w:jc w:val="both"/>
              <w:rPr>
                <w:rFonts w:asciiTheme="majorHAnsi" w:hAnsiTheme="majorHAnsi" w:cs="Times New Roman"/>
                <w:sz w:val="20"/>
                <w:szCs w:val="20"/>
                <w:lang w:val="pt-BR"/>
              </w:rPr>
            </w:pPr>
          </w:p>
        </w:tc>
        <w:tc>
          <w:tcPr>
            <w:tcW w:w="3573" w:type="dxa"/>
            <w:shd w:val="clear" w:color="auto" w:fill="auto"/>
            <w:vAlign w:val="center"/>
          </w:tcPr>
          <w:p w14:paraId="198E7D25" w14:textId="3DED59E4" w:rsidR="00074F63" w:rsidRPr="00B37AF7" w:rsidRDefault="00074F63" w:rsidP="00BB7825">
            <w:pPr>
              <w:suppressLineNumbers/>
              <w:jc w:val="both"/>
              <w:rPr>
                <w:rFonts w:asciiTheme="majorHAnsi" w:eastAsia="Calibri" w:hAnsiTheme="majorHAnsi" w:cs="Times New Roman"/>
                <w:b/>
                <w:sz w:val="20"/>
                <w:szCs w:val="20"/>
                <w:lang w:val="pt-BR"/>
              </w:rPr>
            </w:pPr>
            <w:r w:rsidRPr="00B37AF7">
              <w:rPr>
                <w:rFonts w:asciiTheme="majorHAnsi" w:eastAsia="Calibri" w:hAnsiTheme="majorHAnsi" w:cs="Times New Roman"/>
                <w:b/>
                <w:sz w:val="20"/>
                <w:szCs w:val="20"/>
                <w:lang w:val="pt-BR"/>
              </w:rPr>
              <w:t>Luana Pascoal Goncalves Rodrigues</w:t>
            </w:r>
          </w:p>
        </w:tc>
        <w:tc>
          <w:tcPr>
            <w:tcW w:w="4240" w:type="dxa"/>
            <w:shd w:val="clear" w:color="auto" w:fill="auto"/>
            <w:vAlign w:val="center"/>
          </w:tcPr>
          <w:p w14:paraId="0A63C60B" w14:textId="58942B33" w:rsidR="00074F63" w:rsidRPr="00B37AF7" w:rsidRDefault="00074F63"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Coordenadora de Fiscalização</w:t>
            </w:r>
          </w:p>
        </w:tc>
      </w:tr>
      <w:tr w:rsidR="00BB7825" w:rsidRPr="00031B8A" w14:paraId="5F3647B0" w14:textId="77777777">
        <w:trPr>
          <w:trHeight w:val="330"/>
          <w:jc w:val="center"/>
        </w:trPr>
        <w:tc>
          <w:tcPr>
            <w:tcW w:w="2375" w:type="dxa"/>
            <w:shd w:val="clear" w:color="auto" w:fill="D9D9D9" w:themeFill="background1" w:themeFillShade="D9"/>
            <w:vAlign w:val="center"/>
          </w:tcPr>
          <w:p w14:paraId="384153FE" w14:textId="77777777" w:rsidR="00BB7825" w:rsidRDefault="00BB7825" w:rsidP="00BB7825">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ASSESSORIA:</w:t>
            </w:r>
          </w:p>
        </w:tc>
        <w:tc>
          <w:tcPr>
            <w:tcW w:w="7813" w:type="dxa"/>
            <w:gridSpan w:val="2"/>
            <w:shd w:val="clear" w:color="auto" w:fill="auto"/>
            <w:vAlign w:val="center"/>
          </w:tcPr>
          <w:p w14:paraId="3D401A1B" w14:textId="59E3FBFE" w:rsidR="00BB7825" w:rsidRDefault="00BB7825" w:rsidP="00BB7825">
            <w:pPr>
              <w:suppressLineNumbers/>
              <w:jc w:val="both"/>
              <w:rPr>
                <w:rFonts w:asciiTheme="majorHAnsi" w:eastAsia="Calibri" w:hAnsiTheme="majorHAnsi" w:cs="Times New Roman"/>
                <w:b/>
                <w:sz w:val="20"/>
                <w:szCs w:val="20"/>
                <w:lang w:val="pt-BR"/>
              </w:rPr>
            </w:pPr>
            <w:r w:rsidRPr="000B24B8">
              <w:rPr>
                <w:rFonts w:ascii="Cambria" w:eastAsia="Calibri" w:hAnsi="Cambria" w:cs="Times New Roman"/>
                <w:b/>
                <w:sz w:val="20"/>
                <w:szCs w:val="20"/>
                <w:lang w:val="pt-BR"/>
              </w:rPr>
              <w:t>Tadeu Araújo de Souza Santos</w:t>
            </w:r>
          </w:p>
        </w:tc>
      </w:tr>
      <w:tr w:rsidR="00BB7825" w:rsidRPr="00031B8A"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BB7825" w:rsidRDefault="00BB7825" w:rsidP="00BB7825">
            <w:pPr>
              <w:suppressLineNumbers/>
              <w:jc w:val="both"/>
              <w:rPr>
                <w:rFonts w:asciiTheme="majorHAnsi" w:hAnsiTheme="majorHAnsi" w:cs="Times New Roman"/>
                <w:sz w:val="10"/>
                <w:szCs w:val="10"/>
                <w:lang w:val="pt-BR"/>
              </w:rPr>
            </w:pPr>
          </w:p>
        </w:tc>
      </w:tr>
      <w:tr w:rsidR="00BB7825" w14:paraId="0CE275A1" w14:textId="77777777">
        <w:trPr>
          <w:trHeight w:val="330"/>
          <w:jc w:val="center"/>
        </w:trPr>
        <w:tc>
          <w:tcPr>
            <w:tcW w:w="10188" w:type="dxa"/>
            <w:gridSpan w:val="3"/>
            <w:shd w:val="clear" w:color="auto" w:fill="D9D9D9" w:themeFill="background1" w:themeFillShade="D9"/>
            <w:vAlign w:val="center"/>
          </w:tcPr>
          <w:p w14:paraId="6E09E6A7" w14:textId="77777777" w:rsidR="00BB7825" w:rsidRDefault="00BB7825" w:rsidP="00BB7825">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3. PAUTA:</w:t>
            </w:r>
          </w:p>
        </w:tc>
      </w:tr>
      <w:tr w:rsidR="00BB7825" w:rsidRPr="00031B8A" w14:paraId="7D2F614A" w14:textId="77777777" w:rsidTr="003F238D">
        <w:trPr>
          <w:trHeight w:val="945"/>
          <w:jc w:val="center"/>
        </w:trPr>
        <w:tc>
          <w:tcPr>
            <w:tcW w:w="10188" w:type="dxa"/>
            <w:gridSpan w:val="3"/>
            <w:shd w:val="clear" w:color="auto" w:fill="auto"/>
            <w:vAlign w:val="center"/>
          </w:tcPr>
          <w:p w14:paraId="66C756C3" w14:textId="77777777"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Verificação de quórum:</w:t>
            </w:r>
          </w:p>
          <w:p w14:paraId="41F1B3A5" w14:textId="77777777" w:rsidR="00131ADC" w:rsidRPr="00131ADC" w:rsidRDefault="00131ADC" w:rsidP="00BB7825">
            <w:pPr>
              <w:suppressLineNumbers/>
              <w:spacing w:line="25" w:lineRule="atLeast"/>
              <w:jc w:val="both"/>
              <w:rPr>
                <w:rFonts w:asciiTheme="majorHAnsi" w:hAnsiTheme="majorHAnsi" w:cs="Times New Roman"/>
                <w:b/>
                <w:sz w:val="10"/>
                <w:szCs w:val="10"/>
                <w:lang w:val="pt-BR"/>
              </w:rPr>
            </w:pPr>
          </w:p>
          <w:p w14:paraId="3FF38B2F" w14:textId="171D8D64" w:rsidR="00BB7825" w:rsidRPr="000B24B8" w:rsidRDefault="00BB7825" w:rsidP="00043280">
            <w:pPr>
              <w:suppressLineNumbers/>
              <w:spacing w:line="25" w:lineRule="atLeast"/>
              <w:jc w:val="both"/>
              <w:rPr>
                <w:lang w:val="pt-BR"/>
              </w:rPr>
            </w:pPr>
            <w:r>
              <w:rPr>
                <w:rFonts w:asciiTheme="majorHAnsi" w:eastAsia="Calibri" w:hAnsiTheme="majorHAnsi" w:cs="Times New Roman"/>
                <w:sz w:val="20"/>
                <w:szCs w:val="20"/>
                <w:lang w:val="pt-BR"/>
              </w:rPr>
              <w:t xml:space="preserve">Foi verificado o quórum às </w:t>
            </w:r>
            <w:r w:rsidR="00043280">
              <w:rPr>
                <w:rFonts w:asciiTheme="majorHAnsi" w:eastAsia="Calibri" w:hAnsiTheme="majorHAnsi" w:cs="Times New Roman"/>
                <w:sz w:val="20"/>
                <w:szCs w:val="20"/>
                <w:lang w:val="pt-BR"/>
              </w:rPr>
              <w:t>13h14</w:t>
            </w:r>
            <w:r w:rsidRPr="004C4D47">
              <w:rPr>
                <w:rFonts w:asciiTheme="majorHAnsi" w:eastAsia="Calibri" w:hAnsiTheme="majorHAnsi" w:cs="Times New Roman"/>
                <w:sz w:val="20"/>
                <w:szCs w:val="20"/>
                <w:lang w:val="pt-BR"/>
              </w:rPr>
              <w:t>min</w:t>
            </w:r>
            <w:r>
              <w:rPr>
                <w:rFonts w:ascii="Cambria;serif" w:eastAsia="Calibri" w:hAnsi="Cambria;serif" w:cs="Times New Roman"/>
                <w:color w:val="000000"/>
                <w:sz w:val="20"/>
                <w:szCs w:val="20"/>
                <w:lang w:val="pt-BR"/>
              </w:rPr>
              <w:t>.</w:t>
            </w:r>
          </w:p>
        </w:tc>
      </w:tr>
      <w:tr w:rsidR="00BB7825" w:rsidRPr="00043280" w14:paraId="5DE43FC3" w14:textId="77777777" w:rsidTr="00A07397">
        <w:trPr>
          <w:trHeight w:val="3103"/>
          <w:jc w:val="center"/>
        </w:trPr>
        <w:tc>
          <w:tcPr>
            <w:tcW w:w="10188" w:type="dxa"/>
            <w:gridSpan w:val="3"/>
            <w:shd w:val="clear" w:color="auto" w:fill="auto"/>
            <w:vAlign w:val="center"/>
          </w:tcPr>
          <w:p w14:paraId="693AC139" w14:textId="77777777" w:rsidR="00B37AF7" w:rsidRPr="00131ADC" w:rsidRDefault="00B37AF7" w:rsidP="00BB7825">
            <w:pPr>
              <w:spacing w:line="25" w:lineRule="atLeast"/>
              <w:rPr>
                <w:rFonts w:asciiTheme="majorHAnsi" w:eastAsia="Calibri" w:hAnsiTheme="majorHAnsi"/>
                <w:b/>
                <w:sz w:val="10"/>
                <w:szCs w:val="10"/>
                <w:lang w:val="pt-BR"/>
              </w:rPr>
            </w:pPr>
          </w:p>
          <w:p w14:paraId="4B1CE3F7" w14:textId="0E250D46" w:rsidR="00B37AF7" w:rsidRPr="00043280" w:rsidRDefault="00BB7825" w:rsidP="00131ADC">
            <w:pPr>
              <w:spacing w:line="25" w:lineRule="atLeast"/>
              <w:jc w:val="both"/>
              <w:rPr>
                <w:rFonts w:asciiTheme="majorHAnsi" w:eastAsia="Calibri" w:hAnsiTheme="majorHAnsi"/>
                <w:b/>
                <w:sz w:val="20"/>
                <w:szCs w:val="20"/>
                <w:lang w:val="pt-BR"/>
              </w:rPr>
            </w:pPr>
            <w:r w:rsidRPr="00043280">
              <w:rPr>
                <w:rFonts w:asciiTheme="majorHAnsi" w:eastAsia="Calibri" w:hAnsiTheme="majorHAnsi"/>
                <w:b/>
                <w:sz w:val="20"/>
                <w:szCs w:val="20"/>
                <w:lang w:val="pt-BR"/>
              </w:rPr>
              <w:t>Ordem do Dia:</w:t>
            </w:r>
          </w:p>
          <w:p w14:paraId="3E7AEF87" w14:textId="77777777" w:rsidR="00B37AF7" w:rsidRPr="00043280" w:rsidRDefault="00B37AF7" w:rsidP="00131ADC">
            <w:pPr>
              <w:spacing w:line="25" w:lineRule="atLeast"/>
              <w:jc w:val="both"/>
              <w:rPr>
                <w:rFonts w:asciiTheme="majorHAnsi" w:eastAsia="Calibri" w:hAnsiTheme="majorHAnsi"/>
                <w:b/>
                <w:sz w:val="10"/>
                <w:szCs w:val="10"/>
                <w:lang w:val="pt-BR"/>
              </w:rPr>
            </w:pPr>
          </w:p>
          <w:p w14:paraId="56EF012C" w14:textId="77777777" w:rsidR="00B37AF7" w:rsidRPr="00043280" w:rsidRDefault="00131ADC" w:rsidP="00043280">
            <w:pPr>
              <w:numPr>
                <w:ilvl w:val="0"/>
                <w:numId w:val="6"/>
              </w:numPr>
              <w:suppressAutoHyphens w:val="0"/>
              <w:spacing w:line="276" w:lineRule="auto"/>
              <w:jc w:val="both"/>
              <w:rPr>
                <w:rFonts w:asciiTheme="majorHAnsi" w:hAnsiTheme="majorHAnsi"/>
                <w:sz w:val="20"/>
                <w:szCs w:val="20"/>
                <w:lang w:val="pt-BR"/>
              </w:rPr>
            </w:pPr>
            <w:r w:rsidRPr="00043280">
              <w:rPr>
                <w:rFonts w:asciiTheme="majorHAnsi" w:hAnsiTheme="majorHAnsi"/>
                <w:sz w:val="20"/>
                <w:szCs w:val="20"/>
                <w:lang w:val="pt-BR"/>
              </w:rPr>
              <w:t>Apreciação e aprovação de Relatórios de Processos de Fiscalização.</w:t>
            </w:r>
          </w:p>
          <w:p w14:paraId="3009BA7C" w14:textId="77777777" w:rsidR="00043280" w:rsidRPr="00043280" w:rsidRDefault="00043280" w:rsidP="00043280">
            <w:pPr>
              <w:spacing w:line="276" w:lineRule="auto"/>
              <w:rPr>
                <w:rFonts w:asciiTheme="majorHAnsi" w:hAnsiTheme="majorHAnsi"/>
                <w:sz w:val="10"/>
                <w:szCs w:val="10"/>
                <w:lang w:val="pt-BR"/>
              </w:rPr>
            </w:pPr>
          </w:p>
          <w:p w14:paraId="0043F25B" w14:textId="77777777" w:rsidR="00043280" w:rsidRPr="00043280" w:rsidRDefault="00043280" w:rsidP="00043280">
            <w:pPr>
              <w:pStyle w:val="PargrafodaLista"/>
              <w:numPr>
                <w:ilvl w:val="0"/>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Assuntos relacionados à Fiscalização:</w:t>
            </w:r>
          </w:p>
          <w:p w14:paraId="49B52F3A" w14:textId="77777777" w:rsidR="00043280" w:rsidRPr="00043280" w:rsidRDefault="00043280" w:rsidP="00043280">
            <w:pPr>
              <w:pStyle w:val="PargrafodaLista"/>
              <w:numPr>
                <w:ilvl w:val="1"/>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Decisão do TRF1 sobre a não obrigatoriedade de registro em conselho de empresas com o CNAE 2330-3/02 (Fabricação de artefatos de cimento para uso na construção);</w:t>
            </w:r>
          </w:p>
          <w:p w14:paraId="46E19751" w14:textId="77777777" w:rsidR="00043280" w:rsidRPr="00043280" w:rsidRDefault="00043280" w:rsidP="00043280">
            <w:pPr>
              <w:pStyle w:val="PargrafodaLista"/>
              <w:numPr>
                <w:ilvl w:val="1"/>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Levantamento da lista de projetos aprovados da PBH de janeiro/2021.</w:t>
            </w:r>
          </w:p>
          <w:p w14:paraId="5776DF15" w14:textId="77777777" w:rsidR="00043280" w:rsidRPr="00043280" w:rsidRDefault="00043280" w:rsidP="00043280">
            <w:pPr>
              <w:spacing w:line="276" w:lineRule="auto"/>
              <w:rPr>
                <w:rFonts w:asciiTheme="majorHAnsi" w:hAnsiTheme="majorHAnsi"/>
                <w:sz w:val="10"/>
                <w:szCs w:val="10"/>
                <w:lang w:val="pt-BR"/>
              </w:rPr>
            </w:pPr>
          </w:p>
          <w:p w14:paraId="06590E9C" w14:textId="77777777" w:rsidR="00043280" w:rsidRPr="00043280" w:rsidRDefault="00043280" w:rsidP="00043280">
            <w:pPr>
              <w:pStyle w:val="PargrafodaLista"/>
              <w:numPr>
                <w:ilvl w:val="0"/>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Assuntos relacionados à Análises Técnicas:</w:t>
            </w:r>
          </w:p>
          <w:p w14:paraId="21923251" w14:textId="77777777" w:rsidR="00043280" w:rsidRPr="00043280" w:rsidRDefault="00043280" w:rsidP="00043280">
            <w:pPr>
              <w:pStyle w:val="PargrafodaLista"/>
              <w:numPr>
                <w:ilvl w:val="1"/>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Protocolo 538903/2017: Recurso (Intempestivo) sobre as condições de interrupção de registro.</w:t>
            </w:r>
          </w:p>
          <w:p w14:paraId="00A11762" w14:textId="77777777" w:rsidR="00043280" w:rsidRPr="00043280" w:rsidRDefault="00043280" w:rsidP="00043280">
            <w:pPr>
              <w:pStyle w:val="PargrafodaLista"/>
              <w:numPr>
                <w:ilvl w:val="1"/>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Protocolo 1037114 (RRT SI9151771I00CT001): Contrato em língua estrangeira.</w:t>
            </w:r>
          </w:p>
          <w:p w14:paraId="3F0AC8CB" w14:textId="77777777" w:rsidR="00043280" w:rsidRPr="00043280" w:rsidRDefault="00043280" w:rsidP="00043280">
            <w:pPr>
              <w:spacing w:line="276" w:lineRule="auto"/>
              <w:rPr>
                <w:rFonts w:asciiTheme="majorHAnsi" w:hAnsiTheme="majorHAnsi"/>
                <w:sz w:val="10"/>
                <w:szCs w:val="10"/>
                <w:lang w:val="pt-BR"/>
              </w:rPr>
            </w:pPr>
          </w:p>
          <w:p w14:paraId="1BC5E473" w14:textId="77777777" w:rsidR="00043280" w:rsidRPr="00043280" w:rsidRDefault="00043280" w:rsidP="00043280">
            <w:pPr>
              <w:pStyle w:val="PargrafodaLista"/>
              <w:numPr>
                <w:ilvl w:val="0"/>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Discussão do Plano de Ações 2021-2023 do CAU/MG;</w:t>
            </w:r>
          </w:p>
          <w:p w14:paraId="11D9C069" w14:textId="77777777" w:rsidR="00043280" w:rsidRPr="00043280" w:rsidRDefault="00043280" w:rsidP="00043280">
            <w:pPr>
              <w:spacing w:line="276" w:lineRule="auto"/>
              <w:rPr>
                <w:rFonts w:asciiTheme="majorHAnsi" w:hAnsiTheme="majorHAnsi"/>
                <w:sz w:val="10"/>
                <w:szCs w:val="10"/>
                <w:lang w:val="pt-BR"/>
              </w:rPr>
            </w:pPr>
          </w:p>
          <w:p w14:paraId="69B72B33" w14:textId="77777777" w:rsidR="00043280" w:rsidRPr="00043280" w:rsidRDefault="00043280" w:rsidP="00043280">
            <w:pPr>
              <w:pStyle w:val="PargrafodaLista"/>
              <w:numPr>
                <w:ilvl w:val="0"/>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Solicitação de Manifestação:</w:t>
            </w:r>
          </w:p>
          <w:p w14:paraId="33012011" w14:textId="77777777" w:rsidR="00043280" w:rsidRPr="00043280" w:rsidRDefault="00043280" w:rsidP="00043280">
            <w:pPr>
              <w:pStyle w:val="PargrafodaLista"/>
              <w:numPr>
                <w:ilvl w:val="1"/>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Protocolo 1308482/2021: Alteração de carga horária de trabalho de agente de fiscalização e possíveis implicações.</w:t>
            </w:r>
          </w:p>
          <w:p w14:paraId="4D37EC2A" w14:textId="77777777" w:rsidR="00043280" w:rsidRPr="00043280" w:rsidRDefault="00043280" w:rsidP="00043280">
            <w:pPr>
              <w:pStyle w:val="PargrafodaLista"/>
              <w:numPr>
                <w:ilvl w:val="1"/>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Protocolo 1308608: Projeto de Lei 626/2020, que dispõe sobre a regulamentação da atribuição de títulos profissionais, atividades, competências e caracterização do âmbito de atuação dos profissionais inseridos no Sistema Confea/Crea, para efeito de fiscalização do exercício profissional;</w:t>
            </w:r>
          </w:p>
          <w:p w14:paraId="756BE5BD" w14:textId="77777777" w:rsidR="00043280" w:rsidRPr="00043280" w:rsidRDefault="00043280" w:rsidP="00043280">
            <w:pPr>
              <w:pStyle w:val="PargrafodaLista"/>
              <w:numPr>
                <w:ilvl w:val="1"/>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Protocolo 1306715: Ação junto à Caixa Econômica Federal.</w:t>
            </w:r>
          </w:p>
          <w:p w14:paraId="475985BC" w14:textId="77777777" w:rsidR="00043280" w:rsidRPr="00043280" w:rsidRDefault="00043280" w:rsidP="00043280">
            <w:pPr>
              <w:spacing w:line="276" w:lineRule="auto"/>
              <w:rPr>
                <w:rFonts w:asciiTheme="majorHAnsi" w:hAnsiTheme="majorHAnsi"/>
                <w:sz w:val="10"/>
                <w:szCs w:val="10"/>
                <w:lang w:val="pt-BR"/>
              </w:rPr>
            </w:pPr>
            <w:r w:rsidRPr="00043280">
              <w:rPr>
                <w:rFonts w:asciiTheme="majorHAnsi" w:hAnsiTheme="majorHAnsi"/>
                <w:sz w:val="20"/>
                <w:szCs w:val="20"/>
                <w:lang w:val="pt-BR"/>
              </w:rPr>
              <w:t xml:space="preserve"> </w:t>
            </w:r>
          </w:p>
          <w:p w14:paraId="50865B1A" w14:textId="77777777" w:rsidR="00043280" w:rsidRPr="00043280" w:rsidRDefault="00043280" w:rsidP="00043280">
            <w:pPr>
              <w:pStyle w:val="PargrafodaLista"/>
              <w:numPr>
                <w:ilvl w:val="0"/>
                <w:numId w:val="6"/>
              </w:numPr>
              <w:suppressAutoHyphens w:val="0"/>
              <w:spacing w:line="276" w:lineRule="auto"/>
              <w:rPr>
                <w:rFonts w:asciiTheme="majorHAnsi" w:hAnsiTheme="majorHAnsi"/>
                <w:sz w:val="20"/>
                <w:szCs w:val="20"/>
                <w:lang w:val="pt-BR"/>
              </w:rPr>
            </w:pPr>
            <w:r w:rsidRPr="00043280">
              <w:rPr>
                <w:rFonts w:asciiTheme="majorHAnsi" w:hAnsiTheme="majorHAnsi"/>
                <w:sz w:val="20"/>
                <w:szCs w:val="20"/>
                <w:lang w:val="pt-BR"/>
              </w:rPr>
              <w:t>Outros Assuntos.</w:t>
            </w:r>
          </w:p>
          <w:p w14:paraId="32EA3446" w14:textId="7C0114C2" w:rsidR="00043280" w:rsidRPr="00043280" w:rsidRDefault="00043280" w:rsidP="00043280">
            <w:pPr>
              <w:suppressAutoHyphens w:val="0"/>
              <w:spacing w:line="276" w:lineRule="auto"/>
              <w:rPr>
                <w:rFonts w:asciiTheme="majorHAnsi" w:hAnsiTheme="majorHAnsi"/>
                <w:sz w:val="10"/>
                <w:szCs w:val="10"/>
                <w:lang w:val="pt-BR"/>
              </w:rPr>
            </w:pPr>
          </w:p>
        </w:tc>
      </w:tr>
      <w:tr w:rsidR="00BB7825" w:rsidRPr="00031B8A" w14:paraId="2C53EF2C" w14:textId="77777777" w:rsidTr="00043280">
        <w:trPr>
          <w:trHeight w:val="1408"/>
          <w:jc w:val="center"/>
        </w:trPr>
        <w:tc>
          <w:tcPr>
            <w:tcW w:w="10188" w:type="dxa"/>
            <w:gridSpan w:val="3"/>
            <w:shd w:val="clear" w:color="auto" w:fill="auto"/>
            <w:vAlign w:val="center"/>
          </w:tcPr>
          <w:p w14:paraId="77C4D87C" w14:textId="77777777"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Comunicados:</w:t>
            </w:r>
          </w:p>
          <w:p w14:paraId="4D81DF81" w14:textId="77777777" w:rsidR="00131ADC" w:rsidRPr="00131ADC" w:rsidRDefault="00131ADC" w:rsidP="00BB7825">
            <w:pPr>
              <w:suppressLineNumbers/>
              <w:spacing w:line="25" w:lineRule="atLeast"/>
              <w:jc w:val="both"/>
              <w:rPr>
                <w:rFonts w:asciiTheme="majorHAnsi" w:hAnsiTheme="majorHAnsi" w:cs="Times New Roman"/>
                <w:b/>
                <w:sz w:val="10"/>
                <w:szCs w:val="10"/>
                <w:lang w:val="pt-BR"/>
              </w:rPr>
            </w:pPr>
          </w:p>
          <w:p w14:paraId="2C18EB52" w14:textId="77777777" w:rsidR="00043280" w:rsidRPr="00043280" w:rsidRDefault="00043280" w:rsidP="00043280">
            <w:pPr>
              <w:pStyle w:val="PargrafodaLista"/>
              <w:numPr>
                <w:ilvl w:val="0"/>
                <w:numId w:val="17"/>
              </w:numPr>
              <w:suppressLineNumbers/>
              <w:spacing w:line="25" w:lineRule="atLeast"/>
              <w:rPr>
                <w:rFonts w:asciiTheme="majorHAnsi" w:eastAsia="Calibri" w:hAnsiTheme="majorHAnsi" w:cs="Times New Roman"/>
                <w:sz w:val="20"/>
                <w:szCs w:val="20"/>
                <w:lang w:val="pt-BR"/>
              </w:rPr>
            </w:pPr>
            <w:r w:rsidRPr="00043280">
              <w:rPr>
                <w:rFonts w:asciiTheme="majorHAnsi" w:eastAsia="Calibri" w:hAnsiTheme="majorHAnsi" w:cs="Times New Roman"/>
                <w:sz w:val="20"/>
                <w:szCs w:val="20"/>
                <w:lang w:val="pt-BR"/>
              </w:rPr>
              <w:t>Da Gerência Jurídica: Parecer sobre impugnação de editais de pregão eletrônico para contratação de serviços técnicos (Protocolo 1270051/2021);</w:t>
            </w:r>
          </w:p>
          <w:p w14:paraId="55B2181D" w14:textId="4B27ECC0" w:rsidR="00BB7825" w:rsidRPr="00043280" w:rsidRDefault="00043280" w:rsidP="00043280">
            <w:pPr>
              <w:pStyle w:val="PargrafodaLista"/>
              <w:numPr>
                <w:ilvl w:val="0"/>
                <w:numId w:val="17"/>
              </w:numPr>
              <w:suppressLineNumbers/>
              <w:spacing w:line="25" w:lineRule="atLeast"/>
              <w:rPr>
                <w:rFonts w:asciiTheme="majorHAnsi" w:eastAsia="Calibri" w:hAnsiTheme="majorHAnsi" w:cs="Times New Roman"/>
                <w:sz w:val="20"/>
                <w:szCs w:val="20"/>
                <w:lang w:val="pt-BR"/>
              </w:rPr>
            </w:pPr>
            <w:r w:rsidRPr="00043280">
              <w:rPr>
                <w:rFonts w:asciiTheme="majorHAnsi" w:eastAsia="Calibri" w:hAnsiTheme="majorHAnsi" w:cs="Times New Roman"/>
                <w:sz w:val="20"/>
                <w:szCs w:val="20"/>
                <w:lang w:val="pt-BR"/>
              </w:rPr>
              <w:t>Da Gerência Jurídica: Parecer sobre comunicação a proprietários sobre abertura de processos de fiscalização em face de responsáveis técnicos por aqueles contratados (Protocolo 1263939/2021);</w:t>
            </w:r>
          </w:p>
        </w:tc>
      </w:tr>
      <w:tr w:rsidR="00BB7825" w:rsidRPr="00031B8A" w14:paraId="38591EB0" w14:textId="77777777" w:rsidTr="003F238D">
        <w:trPr>
          <w:trHeight w:val="857"/>
          <w:jc w:val="center"/>
        </w:trPr>
        <w:tc>
          <w:tcPr>
            <w:tcW w:w="10188" w:type="dxa"/>
            <w:gridSpan w:val="3"/>
            <w:shd w:val="clear" w:color="auto" w:fill="auto"/>
            <w:vAlign w:val="center"/>
          </w:tcPr>
          <w:p w14:paraId="66FAEB40" w14:textId="77777777"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lastRenderedPageBreak/>
              <w:t>Encerramento:</w:t>
            </w:r>
          </w:p>
          <w:p w14:paraId="70858666" w14:textId="77777777" w:rsidR="00131ADC" w:rsidRPr="00131ADC" w:rsidRDefault="00131ADC" w:rsidP="00BB7825">
            <w:pPr>
              <w:suppressLineNumbers/>
              <w:spacing w:line="25" w:lineRule="atLeast"/>
              <w:jc w:val="both"/>
              <w:rPr>
                <w:rFonts w:asciiTheme="majorHAnsi" w:hAnsiTheme="majorHAnsi" w:cs="Times New Roman"/>
                <w:b/>
                <w:sz w:val="10"/>
                <w:szCs w:val="10"/>
                <w:lang w:val="pt-BR"/>
              </w:rPr>
            </w:pPr>
          </w:p>
          <w:p w14:paraId="431FDC74" w14:textId="508C4F72" w:rsidR="00BB7825" w:rsidRDefault="00BB7825" w:rsidP="00F64A1C">
            <w:pPr>
              <w:suppressLineNumbers/>
              <w:spacing w:line="25" w:lineRule="atLeast"/>
              <w:jc w:val="both"/>
              <w:rPr>
                <w:lang w:val="pt-BR"/>
              </w:rPr>
            </w:pPr>
            <w:r>
              <w:rPr>
                <w:rFonts w:asciiTheme="majorHAnsi" w:eastAsia="Calibri" w:hAnsiTheme="majorHAnsi" w:cs="Times New Roman"/>
                <w:sz w:val="20"/>
                <w:szCs w:val="20"/>
                <w:lang w:val="pt-BR"/>
              </w:rPr>
              <w:t>A sessão foi encerrada às 1</w:t>
            </w:r>
            <w:r w:rsidR="00F64A1C">
              <w:rPr>
                <w:rFonts w:asciiTheme="majorHAnsi" w:eastAsia="Calibri" w:hAnsiTheme="majorHAnsi" w:cs="Times New Roman"/>
                <w:sz w:val="20"/>
                <w:szCs w:val="20"/>
                <w:lang w:val="pt-BR"/>
              </w:rPr>
              <w:t xml:space="preserve">8:13 </w:t>
            </w:r>
            <w:r>
              <w:rPr>
                <w:rFonts w:asciiTheme="majorHAnsi" w:eastAsia="Calibri" w:hAnsiTheme="majorHAnsi" w:cs="Times New Roman"/>
                <w:sz w:val="20"/>
                <w:szCs w:val="20"/>
                <w:lang w:val="pt-BR"/>
              </w:rPr>
              <w:t>min.</w:t>
            </w:r>
          </w:p>
        </w:tc>
      </w:tr>
    </w:tbl>
    <w:p w14:paraId="4DFB29E4" w14:textId="77777777" w:rsidR="002A57A5" w:rsidRDefault="002A57A5">
      <w:pPr>
        <w:rPr>
          <w:sz w:val="20"/>
          <w:szCs w:val="20"/>
          <w:highlight w:val="yellow"/>
          <w:lang w:val="pt-BR"/>
        </w:rPr>
      </w:pPr>
    </w:p>
    <w:tbl>
      <w:tblPr>
        <w:tblStyle w:val="Tabelacomgrade2"/>
        <w:tblW w:w="10188" w:type="dxa"/>
        <w:jc w:val="center"/>
        <w:tblLook w:val="04A0" w:firstRow="1" w:lastRow="0" w:firstColumn="1" w:lastColumn="0" w:noHBand="0" w:noVBand="1"/>
      </w:tblPr>
      <w:tblGrid>
        <w:gridCol w:w="2263"/>
        <w:gridCol w:w="7925"/>
      </w:tblGrid>
      <w:tr w:rsidR="008724F5" w:rsidRPr="008724F5" w14:paraId="6C3E6109" w14:textId="77777777" w:rsidTr="008724F5">
        <w:trPr>
          <w:trHeight w:val="330"/>
          <w:jc w:val="center"/>
        </w:trPr>
        <w:tc>
          <w:tcPr>
            <w:tcW w:w="10188" w:type="dxa"/>
            <w:gridSpan w:val="2"/>
            <w:tcBorders>
              <w:bottom w:val="single" w:sz="4" w:space="0" w:color="auto"/>
            </w:tcBorders>
            <w:shd w:val="clear" w:color="auto" w:fill="D9D9D9" w:themeFill="background1" w:themeFillShade="D9"/>
            <w:vAlign w:val="center"/>
          </w:tcPr>
          <w:p w14:paraId="46600220" w14:textId="65F72244" w:rsidR="008724F5" w:rsidRPr="008724F5" w:rsidRDefault="008724F5" w:rsidP="008724F5">
            <w:pPr>
              <w:spacing w:line="25" w:lineRule="atLeast"/>
              <w:rPr>
                <w:rFonts w:asciiTheme="majorHAnsi" w:hAnsiTheme="majorHAnsi"/>
                <w:sz w:val="20"/>
                <w:szCs w:val="20"/>
                <w:lang w:val="pt-BR"/>
              </w:rPr>
            </w:pPr>
            <w:r>
              <w:rPr>
                <w:rFonts w:asciiTheme="majorHAnsi" w:eastAsia="Calibri" w:hAnsiTheme="majorHAnsi" w:cs="Times New Roman"/>
                <w:b/>
                <w:sz w:val="20"/>
                <w:szCs w:val="20"/>
                <w:lang w:val="pt-BR"/>
              </w:rPr>
              <w:t>4. DETALHAMENTO DOS ASSUNTOS TRATADOS:</w:t>
            </w:r>
          </w:p>
        </w:tc>
      </w:tr>
      <w:tr w:rsidR="008724F5" w:rsidRPr="008724F5" w14:paraId="5A14CBF7" w14:textId="77777777" w:rsidTr="008724F5">
        <w:trPr>
          <w:trHeight w:val="80"/>
          <w:jc w:val="center"/>
        </w:trPr>
        <w:tc>
          <w:tcPr>
            <w:tcW w:w="10188" w:type="dxa"/>
            <w:gridSpan w:val="2"/>
            <w:tcBorders>
              <w:top w:val="single" w:sz="4" w:space="0" w:color="auto"/>
              <w:left w:val="nil"/>
              <w:bottom w:val="single" w:sz="4" w:space="0" w:color="auto"/>
              <w:right w:val="nil"/>
            </w:tcBorders>
            <w:shd w:val="clear" w:color="auto" w:fill="auto"/>
            <w:vAlign w:val="center"/>
          </w:tcPr>
          <w:p w14:paraId="2CD748E9" w14:textId="00342B4A" w:rsidR="008724F5" w:rsidRPr="008724F5" w:rsidRDefault="008724F5" w:rsidP="008724F5">
            <w:pPr>
              <w:rPr>
                <w:sz w:val="10"/>
                <w:szCs w:val="10"/>
                <w:highlight w:val="yellow"/>
                <w:lang w:val="pt-BR"/>
              </w:rPr>
            </w:pPr>
          </w:p>
        </w:tc>
      </w:tr>
      <w:tr w:rsidR="008724F5" w:rsidRPr="00031B8A" w14:paraId="0999D02C" w14:textId="77777777" w:rsidTr="008724F5">
        <w:trPr>
          <w:trHeight w:val="330"/>
          <w:jc w:val="center"/>
        </w:trPr>
        <w:tc>
          <w:tcPr>
            <w:tcW w:w="2263" w:type="dxa"/>
            <w:tcBorders>
              <w:top w:val="single" w:sz="4" w:space="0" w:color="auto"/>
            </w:tcBorders>
            <w:shd w:val="clear" w:color="auto" w:fill="D9D9D9" w:themeFill="background1" w:themeFillShade="D9"/>
            <w:vAlign w:val="center"/>
          </w:tcPr>
          <w:p w14:paraId="142AC219" w14:textId="7F841EB5" w:rsidR="008724F5" w:rsidRPr="008724F5" w:rsidRDefault="00A07397"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476505BC" w14:textId="14BE9549" w:rsidR="008724F5" w:rsidRPr="00A07397" w:rsidRDefault="00A07397" w:rsidP="00A07397">
            <w:pPr>
              <w:pStyle w:val="PargrafodaLista"/>
              <w:numPr>
                <w:ilvl w:val="0"/>
                <w:numId w:val="5"/>
              </w:numPr>
              <w:rPr>
                <w:rFonts w:asciiTheme="majorHAnsi" w:eastAsia="Calibri" w:hAnsiTheme="majorHAnsi"/>
                <w:sz w:val="20"/>
                <w:szCs w:val="20"/>
                <w:lang w:val="pt-BR"/>
              </w:rPr>
            </w:pPr>
            <w:r w:rsidRPr="00A07397">
              <w:rPr>
                <w:rFonts w:asciiTheme="majorHAnsi" w:eastAsia="Calibri" w:hAnsiTheme="majorHAnsi"/>
                <w:sz w:val="20"/>
                <w:szCs w:val="20"/>
                <w:lang w:val="pt-BR"/>
              </w:rPr>
              <w:t>APRECIAÇÃO E APROVAÇÃO DE RELATÓRIOS DE PROCESSOS DE FISCALIZAÇÃO</w:t>
            </w:r>
          </w:p>
        </w:tc>
      </w:tr>
      <w:tr w:rsidR="008724F5" w:rsidRPr="00031B8A" w14:paraId="3654850E" w14:textId="77777777" w:rsidTr="000D5801">
        <w:trPr>
          <w:trHeight w:val="1164"/>
          <w:jc w:val="center"/>
        </w:trPr>
        <w:tc>
          <w:tcPr>
            <w:tcW w:w="2263" w:type="dxa"/>
            <w:shd w:val="clear" w:color="auto" w:fill="D9D9D9" w:themeFill="background1" w:themeFillShade="D9"/>
            <w:vAlign w:val="center"/>
          </w:tcPr>
          <w:p w14:paraId="6BAD14F7" w14:textId="77777777" w:rsidR="008724F5" w:rsidRDefault="008724F5"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DISCUSSÕES,</w:t>
            </w:r>
          </w:p>
          <w:p w14:paraId="7B796EA0" w14:textId="77777777" w:rsidR="008724F5" w:rsidRDefault="008724F5"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301D8730" w14:textId="27A18BB5" w:rsidR="008724F5" w:rsidRPr="008724F5" w:rsidRDefault="008724F5"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p>
        </w:tc>
        <w:tc>
          <w:tcPr>
            <w:tcW w:w="7925" w:type="dxa"/>
            <w:shd w:val="clear" w:color="auto" w:fill="auto"/>
            <w:vAlign w:val="center"/>
          </w:tcPr>
          <w:p w14:paraId="2F89707C" w14:textId="77777777" w:rsidR="00A07397" w:rsidRPr="00A07397" w:rsidRDefault="00A07397" w:rsidP="00A07397">
            <w:pPr>
              <w:suppressAutoHyphens/>
              <w:spacing w:line="300" w:lineRule="auto"/>
              <w:jc w:val="both"/>
              <w:rPr>
                <w:rFonts w:ascii="Cambria" w:eastAsia="Calibri" w:hAnsi="Cambria" w:cs="Times New Roman"/>
                <w:sz w:val="10"/>
                <w:szCs w:val="10"/>
                <w:lang w:val="pt-BR"/>
              </w:rPr>
            </w:pPr>
          </w:p>
          <w:p w14:paraId="34D9A346" w14:textId="55E11917" w:rsidR="00231EEB" w:rsidRDefault="00B71EF7" w:rsidP="00B71EF7">
            <w:pPr>
              <w:suppressAutoHyphens/>
              <w:spacing w:line="300" w:lineRule="auto"/>
              <w:jc w:val="both"/>
              <w:rPr>
                <w:rFonts w:ascii="Cambria" w:eastAsia="Calibri" w:hAnsi="Cambria" w:cs="Times New Roman"/>
                <w:sz w:val="20"/>
                <w:szCs w:val="20"/>
                <w:lang w:val="pt-BR"/>
              </w:rPr>
            </w:pPr>
            <w:r w:rsidRPr="00B71EF7">
              <w:rPr>
                <w:rFonts w:ascii="Cambria" w:eastAsia="Calibri" w:hAnsi="Cambria" w:cs="Times New Roman"/>
                <w:sz w:val="20"/>
                <w:szCs w:val="20"/>
                <w:lang w:val="pt-BR"/>
              </w:rPr>
              <w:t xml:space="preserve">Não foram apresentados relatórios de </w:t>
            </w:r>
            <w:r w:rsidR="00A07397" w:rsidRPr="00B71EF7">
              <w:rPr>
                <w:rFonts w:ascii="Cambria" w:eastAsia="Calibri" w:hAnsi="Cambria" w:cs="Times New Roman"/>
                <w:sz w:val="20"/>
                <w:szCs w:val="20"/>
                <w:lang w:val="pt-BR"/>
              </w:rPr>
              <w:t>processos de fiscalização</w:t>
            </w:r>
            <w:r w:rsidRPr="00B71EF7">
              <w:rPr>
                <w:rFonts w:ascii="Cambria" w:eastAsia="Calibri" w:hAnsi="Cambria" w:cs="Times New Roman"/>
                <w:sz w:val="20"/>
                <w:szCs w:val="20"/>
                <w:lang w:val="pt-BR"/>
              </w:rPr>
              <w:t xml:space="preserve"> nesta sessão.</w:t>
            </w:r>
          </w:p>
          <w:p w14:paraId="77D80C15" w14:textId="739C7CF5" w:rsidR="005202A3" w:rsidRPr="005202A3" w:rsidRDefault="005202A3" w:rsidP="00846D3E">
            <w:pPr>
              <w:spacing w:line="300" w:lineRule="auto"/>
              <w:rPr>
                <w:rFonts w:ascii="Cambria" w:eastAsia="Calibri" w:hAnsi="Cambria" w:cs="Times New Roman"/>
                <w:sz w:val="10"/>
                <w:szCs w:val="10"/>
                <w:lang w:val="pt-BR"/>
              </w:rPr>
            </w:pPr>
          </w:p>
        </w:tc>
      </w:tr>
      <w:tr w:rsidR="008724F5" w:rsidRPr="00031B8A" w14:paraId="6ECD4726" w14:textId="77777777" w:rsidTr="008724F5">
        <w:trPr>
          <w:trHeight w:val="70"/>
          <w:jc w:val="center"/>
        </w:trPr>
        <w:tc>
          <w:tcPr>
            <w:tcW w:w="10188" w:type="dxa"/>
            <w:gridSpan w:val="2"/>
            <w:tcBorders>
              <w:left w:val="nil"/>
              <w:right w:val="nil"/>
            </w:tcBorders>
            <w:shd w:val="clear" w:color="auto" w:fill="auto"/>
            <w:vAlign w:val="center"/>
          </w:tcPr>
          <w:p w14:paraId="638134A3" w14:textId="77777777" w:rsidR="008724F5" w:rsidRPr="008724F5" w:rsidRDefault="008724F5" w:rsidP="008724F5">
            <w:pPr>
              <w:rPr>
                <w:sz w:val="10"/>
                <w:szCs w:val="10"/>
                <w:highlight w:val="yellow"/>
                <w:lang w:val="pt-BR"/>
              </w:rPr>
            </w:pPr>
            <w:bookmarkStart w:id="1" w:name="_Hlk62458471"/>
          </w:p>
        </w:tc>
      </w:tr>
      <w:tr w:rsidR="008724F5" w:rsidRPr="00D1503A" w14:paraId="6B94BC28" w14:textId="77777777" w:rsidTr="009C2FC9">
        <w:trPr>
          <w:trHeight w:val="330"/>
          <w:jc w:val="center"/>
        </w:trPr>
        <w:tc>
          <w:tcPr>
            <w:tcW w:w="2263" w:type="dxa"/>
            <w:tcBorders>
              <w:bottom w:val="single" w:sz="4" w:space="0" w:color="auto"/>
            </w:tcBorders>
            <w:shd w:val="clear" w:color="auto" w:fill="D9D9D9" w:themeFill="background1" w:themeFillShade="D9"/>
            <w:vAlign w:val="center"/>
          </w:tcPr>
          <w:p w14:paraId="02673184" w14:textId="60399913" w:rsidR="008724F5" w:rsidRPr="008724F5" w:rsidRDefault="00A07397"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tcBorders>
              <w:bottom w:val="single" w:sz="4" w:space="0" w:color="auto"/>
            </w:tcBorders>
            <w:shd w:val="clear" w:color="auto" w:fill="auto"/>
            <w:vAlign w:val="center"/>
          </w:tcPr>
          <w:p w14:paraId="4BE35730" w14:textId="056458A5" w:rsidR="008724F5" w:rsidRPr="00A07397" w:rsidRDefault="00D1503A" w:rsidP="00A07397">
            <w:pPr>
              <w:pStyle w:val="PargrafodaLista"/>
              <w:numPr>
                <w:ilvl w:val="0"/>
                <w:numId w:val="5"/>
              </w:numPr>
              <w:rPr>
                <w:rFonts w:asciiTheme="majorHAnsi" w:eastAsia="Calibri" w:hAnsiTheme="majorHAnsi"/>
                <w:sz w:val="20"/>
                <w:szCs w:val="20"/>
                <w:lang w:val="pt-BR"/>
              </w:rPr>
            </w:pPr>
            <w:r w:rsidRPr="00A07397">
              <w:rPr>
                <w:rFonts w:asciiTheme="majorHAnsi" w:eastAsia="Calibri" w:hAnsiTheme="majorHAnsi"/>
                <w:sz w:val="20"/>
                <w:szCs w:val="20"/>
                <w:lang w:val="pt-BR"/>
              </w:rPr>
              <w:t xml:space="preserve">ASSUNTOS RELACIONADOS </w:t>
            </w:r>
            <w:r>
              <w:rPr>
                <w:rFonts w:asciiTheme="majorHAnsi" w:eastAsia="Calibri" w:hAnsiTheme="majorHAnsi"/>
                <w:sz w:val="20"/>
                <w:szCs w:val="20"/>
                <w:lang w:val="pt-BR"/>
              </w:rPr>
              <w:t>À FISCALIZAÇÃO</w:t>
            </w:r>
          </w:p>
        </w:tc>
      </w:tr>
      <w:tr w:rsidR="00D1503A" w:rsidRPr="00031B8A" w14:paraId="2D10FDF8" w14:textId="77777777" w:rsidTr="00740BCD">
        <w:trPr>
          <w:trHeight w:val="803"/>
          <w:jc w:val="center"/>
        </w:trPr>
        <w:tc>
          <w:tcPr>
            <w:tcW w:w="2263" w:type="dxa"/>
            <w:tcBorders>
              <w:right w:val="single" w:sz="4" w:space="0" w:color="auto"/>
            </w:tcBorders>
            <w:shd w:val="clear" w:color="auto" w:fill="D9D9D9" w:themeFill="background1" w:themeFillShade="D9"/>
            <w:vAlign w:val="center"/>
          </w:tcPr>
          <w:p w14:paraId="089A3218" w14:textId="77777777" w:rsidR="00D1503A" w:rsidRPr="00740BCD" w:rsidRDefault="00D1503A" w:rsidP="008724F5">
            <w:pPr>
              <w:widowControl/>
              <w:suppressLineNumbers/>
              <w:rPr>
                <w:rFonts w:asciiTheme="majorHAnsi" w:hAnsiTheme="majorHAnsi" w:cs="Times New Roman"/>
                <w:sz w:val="20"/>
                <w:szCs w:val="20"/>
                <w:lang w:val="pt-BR"/>
              </w:rPr>
            </w:pPr>
            <w:r w:rsidRPr="00740BCD">
              <w:rPr>
                <w:rFonts w:asciiTheme="majorHAnsi" w:hAnsiTheme="majorHAnsi" w:cs="Times New Roman"/>
                <w:sz w:val="20"/>
                <w:szCs w:val="20"/>
                <w:lang w:val="pt-BR"/>
              </w:rPr>
              <w:t>DISCUSSÕES,</w:t>
            </w:r>
          </w:p>
          <w:p w14:paraId="1E80748C" w14:textId="77777777" w:rsidR="00D1503A" w:rsidRPr="00740BCD" w:rsidRDefault="00D1503A" w:rsidP="008724F5">
            <w:pPr>
              <w:widowControl/>
              <w:suppressLineNumbers/>
              <w:rPr>
                <w:rFonts w:asciiTheme="majorHAnsi" w:hAnsiTheme="majorHAnsi" w:cs="Times New Roman"/>
                <w:sz w:val="20"/>
                <w:szCs w:val="20"/>
                <w:lang w:val="pt-BR"/>
              </w:rPr>
            </w:pPr>
            <w:r w:rsidRPr="00740BCD">
              <w:rPr>
                <w:rFonts w:asciiTheme="majorHAnsi" w:hAnsiTheme="majorHAnsi" w:cs="Times New Roman"/>
                <w:sz w:val="20"/>
                <w:szCs w:val="20"/>
                <w:lang w:val="pt-BR"/>
              </w:rPr>
              <w:t>DELIBERAÇÕES E</w:t>
            </w:r>
          </w:p>
          <w:p w14:paraId="6EE0CC04" w14:textId="4103F0AE" w:rsidR="00D1503A" w:rsidRPr="00740BCD" w:rsidRDefault="00D1503A" w:rsidP="00740BCD">
            <w:pPr>
              <w:widowControl/>
              <w:suppressLineNumbers/>
              <w:rPr>
                <w:rFonts w:asciiTheme="majorHAnsi" w:hAnsiTheme="majorHAnsi" w:cs="Times New Roman"/>
                <w:sz w:val="20"/>
                <w:szCs w:val="20"/>
                <w:lang w:val="pt-BR"/>
              </w:rPr>
            </w:pPr>
            <w:r w:rsidRPr="00740BCD">
              <w:rPr>
                <w:rFonts w:asciiTheme="majorHAnsi" w:hAnsiTheme="majorHAnsi" w:cs="Times New Roman"/>
                <w:sz w:val="20"/>
                <w:szCs w:val="20"/>
                <w:lang w:val="pt-BR"/>
              </w:rPr>
              <w:t>ENCAMINHAMENTOS:</w:t>
            </w:r>
          </w:p>
        </w:tc>
        <w:tc>
          <w:tcPr>
            <w:tcW w:w="7925" w:type="dxa"/>
            <w:tcBorders>
              <w:top w:val="single" w:sz="4" w:space="0" w:color="auto"/>
              <w:left w:val="single" w:sz="4" w:space="0" w:color="auto"/>
              <w:right w:val="single" w:sz="4" w:space="0" w:color="auto"/>
            </w:tcBorders>
            <w:shd w:val="clear" w:color="auto" w:fill="auto"/>
            <w:vAlign w:val="center"/>
          </w:tcPr>
          <w:p w14:paraId="2BFFB58B" w14:textId="77777777" w:rsidR="003F238D" w:rsidRPr="00740BCD" w:rsidRDefault="003F238D" w:rsidP="003F238D">
            <w:pPr>
              <w:spacing w:line="300" w:lineRule="auto"/>
              <w:rPr>
                <w:rFonts w:asciiTheme="majorHAnsi" w:eastAsia="Calibri" w:hAnsiTheme="majorHAnsi"/>
                <w:sz w:val="10"/>
                <w:szCs w:val="10"/>
                <w:lang w:val="pt-BR"/>
              </w:rPr>
            </w:pPr>
          </w:p>
          <w:p w14:paraId="22D3BFD2" w14:textId="1FEB7A55" w:rsidR="008169CE" w:rsidRPr="00740BCD" w:rsidRDefault="0010775F" w:rsidP="00DF3E71">
            <w:pPr>
              <w:pStyle w:val="PargrafodaLista"/>
              <w:numPr>
                <w:ilvl w:val="1"/>
                <w:numId w:val="5"/>
              </w:numPr>
              <w:rPr>
                <w:rFonts w:asciiTheme="majorHAnsi" w:eastAsia="Calibri" w:hAnsiTheme="majorHAnsi"/>
                <w:sz w:val="20"/>
                <w:szCs w:val="20"/>
                <w:lang w:val="pt-BR"/>
              </w:rPr>
            </w:pPr>
            <w:r w:rsidRPr="00740BCD">
              <w:rPr>
                <w:rFonts w:asciiTheme="majorHAnsi" w:eastAsia="Calibri" w:hAnsiTheme="majorHAnsi"/>
                <w:sz w:val="20"/>
                <w:szCs w:val="20"/>
                <w:lang w:val="pt-BR"/>
              </w:rPr>
              <w:t xml:space="preserve">Decisão do TRF1 sobre a não obrigatoriedade de registro em conselho de empresas com o CNAE 2330-3/02 (Fabricação de artefatos de cimento para uso na construção): </w:t>
            </w:r>
            <w:r w:rsidR="009C023E" w:rsidRPr="00740BCD">
              <w:rPr>
                <w:rFonts w:asciiTheme="majorHAnsi" w:eastAsia="Calibri" w:hAnsiTheme="majorHAnsi"/>
                <w:sz w:val="20"/>
                <w:szCs w:val="20"/>
                <w:lang w:val="pt-BR"/>
              </w:rPr>
              <w:t>Após a explanação da Coordenadora de Fiscalização sobre o caso, seguida de breve discussão, a Comissão Deliberou solicitar um Parecer J</w:t>
            </w:r>
            <w:r w:rsidRPr="00740BCD">
              <w:rPr>
                <w:rFonts w:asciiTheme="majorHAnsi" w:eastAsia="Calibri" w:hAnsiTheme="majorHAnsi"/>
                <w:sz w:val="20"/>
                <w:szCs w:val="20"/>
                <w:lang w:val="pt-BR"/>
              </w:rPr>
              <w:t xml:space="preserve">urídico </w:t>
            </w:r>
            <w:r w:rsidR="009C023E" w:rsidRPr="00740BCD">
              <w:rPr>
                <w:rFonts w:asciiTheme="majorHAnsi" w:eastAsia="Calibri" w:hAnsiTheme="majorHAnsi"/>
                <w:sz w:val="20"/>
                <w:szCs w:val="20"/>
                <w:lang w:val="pt-BR"/>
              </w:rPr>
              <w:t xml:space="preserve">sobre o </w:t>
            </w:r>
            <w:r w:rsidRPr="00740BCD">
              <w:rPr>
                <w:rFonts w:asciiTheme="majorHAnsi" w:eastAsia="Calibri" w:hAnsiTheme="majorHAnsi"/>
                <w:sz w:val="20"/>
                <w:szCs w:val="20"/>
                <w:lang w:val="pt-BR"/>
              </w:rPr>
              <w:t>entendimento</w:t>
            </w:r>
            <w:r w:rsidR="009C023E" w:rsidRPr="00740BCD">
              <w:rPr>
                <w:rFonts w:asciiTheme="majorHAnsi" w:eastAsia="Calibri" w:hAnsiTheme="majorHAnsi"/>
                <w:sz w:val="20"/>
                <w:szCs w:val="20"/>
                <w:lang w:val="pt-BR"/>
              </w:rPr>
              <w:t xml:space="preserve"> da situação, verificando inclusive o </w:t>
            </w:r>
            <w:r w:rsidRPr="00740BCD">
              <w:rPr>
                <w:rFonts w:asciiTheme="majorHAnsi" w:eastAsia="Calibri" w:hAnsiTheme="majorHAnsi"/>
                <w:sz w:val="20"/>
                <w:szCs w:val="20"/>
                <w:lang w:val="pt-BR"/>
              </w:rPr>
              <w:t>inteiro teor do processo</w:t>
            </w:r>
            <w:r w:rsidR="009C023E" w:rsidRPr="00740BCD">
              <w:rPr>
                <w:rFonts w:asciiTheme="majorHAnsi" w:eastAsia="Calibri" w:hAnsiTheme="majorHAnsi"/>
                <w:sz w:val="20"/>
                <w:szCs w:val="20"/>
                <w:lang w:val="pt-BR"/>
              </w:rPr>
              <w:t xml:space="preserve"> julgado pelo Tribunal </w:t>
            </w:r>
            <w:r w:rsidRPr="00740BCD">
              <w:rPr>
                <w:rFonts w:asciiTheme="majorHAnsi" w:eastAsia="Calibri" w:hAnsiTheme="majorHAnsi"/>
                <w:sz w:val="20"/>
                <w:szCs w:val="20"/>
                <w:lang w:val="pt-BR"/>
              </w:rPr>
              <w:t>0000308-81.2013.4.01.3600)</w:t>
            </w:r>
            <w:r w:rsidR="009C023E" w:rsidRPr="00740BCD">
              <w:rPr>
                <w:rFonts w:asciiTheme="majorHAnsi" w:eastAsia="Calibri" w:hAnsiTheme="majorHAnsi"/>
                <w:sz w:val="20"/>
                <w:szCs w:val="20"/>
                <w:lang w:val="pt-BR"/>
              </w:rPr>
              <w:t>, o que não foi possível durante a sessão. Decidiu ainda que a Equipe de Fiscalização deve c</w:t>
            </w:r>
            <w:r w:rsidR="008169CE" w:rsidRPr="00740BCD">
              <w:rPr>
                <w:rFonts w:asciiTheme="majorHAnsi" w:eastAsia="Calibri" w:hAnsiTheme="majorHAnsi"/>
                <w:sz w:val="20"/>
                <w:szCs w:val="20"/>
                <w:lang w:val="pt-BR"/>
              </w:rPr>
              <w:t>ontinuar a pesquisa de empresas</w:t>
            </w:r>
            <w:r w:rsidR="009C023E" w:rsidRPr="00740BCD">
              <w:rPr>
                <w:rFonts w:asciiTheme="majorHAnsi" w:eastAsia="Calibri" w:hAnsiTheme="majorHAnsi"/>
                <w:sz w:val="20"/>
                <w:szCs w:val="20"/>
                <w:lang w:val="pt-BR"/>
              </w:rPr>
              <w:t xml:space="preserve"> com esta classificação econômica, registrando o levantamento, porém </w:t>
            </w:r>
            <w:r w:rsidR="008169CE" w:rsidRPr="00740BCD">
              <w:rPr>
                <w:rFonts w:asciiTheme="majorHAnsi" w:eastAsia="Calibri" w:hAnsiTheme="majorHAnsi"/>
                <w:sz w:val="20"/>
                <w:szCs w:val="20"/>
                <w:lang w:val="pt-BR"/>
              </w:rPr>
              <w:t>suspender processos</w:t>
            </w:r>
            <w:r w:rsidR="009C023E" w:rsidRPr="00740BCD">
              <w:rPr>
                <w:rFonts w:asciiTheme="majorHAnsi" w:eastAsia="Calibri" w:hAnsiTheme="majorHAnsi"/>
                <w:sz w:val="20"/>
                <w:szCs w:val="20"/>
                <w:lang w:val="pt-BR"/>
              </w:rPr>
              <w:t xml:space="preserve"> abertos na fase em que se encontram, </w:t>
            </w:r>
            <w:r w:rsidR="00610DB9" w:rsidRPr="00740BCD">
              <w:rPr>
                <w:rFonts w:asciiTheme="majorHAnsi" w:eastAsia="Calibri" w:hAnsiTheme="majorHAnsi"/>
                <w:sz w:val="20"/>
                <w:szCs w:val="20"/>
                <w:lang w:val="pt-BR"/>
              </w:rPr>
              <w:t xml:space="preserve">até a </w:t>
            </w:r>
            <w:r w:rsidR="009C023E" w:rsidRPr="00740BCD">
              <w:rPr>
                <w:rFonts w:asciiTheme="majorHAnsi" w:eastAsia="Calibri" w:hAnsiTheme="majorHAnsi"/>
                <w:sz w:val="20"/>
                <w:szCs w:val="20"/>
                <w:lang w:val="pt-BR"/>
              </w:rPr>
              <w:t>análise do parecer jurídico acima mencionado pela CEP.</w:t>
            </w:r>
          </w:p>
          <w:p w14:paraId="174F7BC4" w14:textId="77777777" w:rsidR="0010775F" w:rsidRPr="00740BCD" w:rsidRDefault="0010775F" w:rsidP="0010775F">
            <w:pPr>
              <w:rPr>
                <w:rFonts w:asciiTheme="majorHAnsi" w:eastAsia="Calibri" w:hAnsiTheme="majorHAnsi"/>
                <w:sz w:val="10"/>
                <w:szCs w:val="10"/>
                <w:lang w:val="pt-BR"/>
              </w:rPr>
            </w:pPr>
          </w:p>
          <w:p w14:paraId="28BAA142" w14:textId="77777777" w:rsidR="00740BCD" w:rsidRPr="00740BCD" w:rsidRDefault="009C023E" w:rsidP="00740BCD">
            <w:pPr>
              <w:pStyle w:val="PargrafodaLista"/>
              <w:numPr>
                <w:ilvl w:val="1"/>
                <w:numId w:val="5"/>
              </w:numPr>
              <w:rPr>
                <w:rFonts w:asciiTheme="majorHAnsi" w:eastAsia="Calibri" w:hAnsiTheme="majorHAnsi"/>
                <w:sz w:val="20"/>
                <w:szCs w:val="20"/>
                <w:lang w:val="pt-BR"/>
              </w:rPr>
            </w:pPr>
            <w:r w:rsidRPr="00740BCD">
              <w:rPr>
                <w:rFonts w:asciiTheme="majorHAnsi" w:eastAsia="Calibri" w:hAnsiTheme="majorHAnsi"/>
                <w:sz w:val="20"/>
                <w:szCs w:val="20"/>
                <w:lang w:val="pt-BR"/>
              </w:rPr>
              <w:t>Levantamento da lista de projetos aprovados da PBH de janeiro/2021: Sobre a relação apresentada pela</w:t>
            </w:r>
            <w:r w:rsidRPr="00740BCD">
              <w:rPr>
                <w:sz w:val="20"/>
                <w:szCs w:val="20"/>
                <w:lang w:val="pt-BR"/>
              </w:rPr>
              <w:t xml:space="preserve"> </w:t>
            </w:r>
            <w:r w:rsidRPr="00740BCD">
              <w:rPr>
                <w:rFonts w:asciiTheme="majorHAnsi" w:eastAsia="Calibri" w:hAnsiTheme="majorHAnsi"/>
                <w:sz w:val="20"/>
                <w:szCs w:val="20"/>
                <w:lang w:val="pt-BR"/>
              </w:rPr>
              <w:t>Coordenadora de Fiscalização</w:t>
            </w:r>
            <w:r w:rsidR="00610DB9" w:rsidRPr="00740BCD">
              <w:rPr>
                <w:rFonts w:asciiTheme="majorHAnsi" w:eastAsia="Calibri" w:hAnsiTheme="majorHAnsi"/>
                <w:sz w:val="20"/>
                <w:szCs w:val="20"/>
                <w:lang w:val="pt-BR"/>
              </w:rPr>
              <w:t xml:space="preserve">, a Comissão decidiu por solicitar à Equipe de Fiscalização que proceda à notificação dos </w:t>
            </w:r>
            <w:r w:rsidR="00544B65" w:rsidRPr="00740BCD">
              <w:rPr>
                <w:rFonts w:asciiTheme="majorHAnsi" w:eastAsia="Calibri" w:hAnsiTheme="majorHAnsi"/>
                <w:sz w:val="20"/>
                <w:szCs w:val="20"/>
                <w:lang w:val="pt-BR"/>
              </w:rPr>
              <w:t xml:space="preserve">proprietários das edificações licenciadas, demonstradas na lista (sejam licenças para novas construções, sejam licenças para acréscimos), nos moldes da deliberação 163.5/2020, desde que o </w:t>
            </w:r>
            <w:r w:rsidR="00740BCD" w:rsidRPr="00740BCD">
              <w:rPr>
                <w:rFonts w:asciiTheme="majorHAnsi" w:eastAsia="Calibri" w:hAnsiTheme="majorHAnsi"/>
                <w:sz w:val="20"/>
                <w:szCs w:val="20"/>
                <w:lang w:val="pt-BR"/>
              </w:rPr>
              <w:t>responsável indicado no processo de licenciamento seja arquiteto e urbanista ou empresas prestadoras de serviços de arquitetura não devendo, de início, fiscalizar profissionais registrados em outros Conselhos Profissionais, afim de evitar controvérsias judiciais. Não deve ser realizada, no entanto, notificação relativa a atividade de execução de obra.</w:t>
            </w:r>
          </w:p>
          <w:p w14:paraId="40FFB6B4" w14:textId="509AFEEF" w:rsidR="00740BCD" w:rsidRPr="00740BCD" w:rsidRDefault="00740BCD" w:rsidP="00740BCD">
            <w:pPr>
              <w:rPr>
                <w:rFonts w:asciiTheme="majorHAnsi" w:eastAsia="Calibri" w:hAnsiTheme="majorHAnsi"/>
                <w:sz w:val="10"/>
                <w:szCs w:val="10"/>
                <w:lang w:val="pt-BR"/>
              </w:rPr>
            </w:pPr>
          </w:p>
        </w:tc>
      </w:tr>
      <w:bookmarkEnd w:id="1"/>
      <w:tr w:rsidR="00A07397" w:rsidRPr="00031B8A" w14:paraId="409AA5D7" w14:textId="77777777" w:rsidTr="009C2FC9">
        <w:trPr>
          <w:trHeight w:val="70"/>
          <w:jc w:val="center"/>
        </w:trPr>
        <w:tc>
          <w:tcPr>
            <w:tcW w:w="10188" w:type="dxa"/>
            <w:gridSpan w:val="2"/>
            <w:tcBorders>
              <w:top w:val="single" w:sz="4" w:space="0" w:color="auto"/>
              <w:left w:val="nil"/>
              <w:bottom w:val="nil"/>
              <w:right w:val="nil"/>
            </w:tcBorders>
            <w:shd w:val="clear" w:color="auto" w:fill="auto"/>
            <w:vAlign w:val="center"/>
          </w:tcPr>
          <w:p w14:paraId="3EF10D5E" w14:textId="04FA1CEC" w:rsidR="001618BE" w:rsidRPr="008724F5" w:rsidRDefault="001618BE" w:rsidP="009C2FC9">
            <w:pPr>
              <w:rPr>
                <w:sz w:val="10"/>
                <w:szCs w:val="10"/>
                <w:highlight w:val="yellow"/>
                <w:lang w:val="pt-BR"/>
              </w:rPr>
            </w:pPr>
          </w:p>
        </w:tc>
      </w:tr>
      <w:tr w:rsidR="009C2FC9" w:rsidRPr="00031B8A" w14:paraId="6DA706A1" w14:textId="77777777" w:rsidTr="00B83CC5">
        <w:trPr>
          <w:trHeight w:val="330"/>
          <w:jc w:val="center"/>
        </w:trPr>
        <w:tc>
          <w:tcPr>
            <w:tcW w:w="2263" w:type="dxa"/>
            <w:shd w:val="clear" w:color="auto" w:fill="D9D9D9" w:themeFill="background1" w:themeFillShade="D9"/>
            <w:vAlign w:val="center"/>
          </w:tcPr>
          <w:p w14:paraId="21FC486D" w14:textId="77777777" w:rsidR="009C2FC9" w:rsidRPr="008724F5" w:rsidRDefault="009C2FC9" w:rsidP="00B83CC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shd w:val="clear" w:color="auto" w:fill="auto"/>
            <w:vAlign w:val="center"/>
          </w:tcPr>
          <w:p w14:paraId="66733AE3" w14:textId="0B3D34E2" w:rsidR="000E3837" w:rsidRPr="00144FD0" w:rsidRDefault="00131ADC" w:rsidP="00131ADC">
            <w:pPr>
              <w:pStyle w:val="PargrafodaLista"/>
              <w:numPr>
                <w:ilvl w:val="0"/>
                <w:numId w:val="5"/>
              </w:numPr>
              <w:rPr>
                <w:rFonts w:asciiTheme="majorHAnsi" w:eastAsia="Calibri" w:hAnsiTheme="majorHAnsi"/>
                <w:sz w:val="20"/>
                <w:szCs w:val="20"/>
                <w:lang w:val="pt-BR"/>
              </w:rPr>
            </w:pPr>
            <w:r w:rsidRPr="00A07397">
              <w:rPr>
                <w:rFonts w:asciiTheme="majorHAnsi" w:eastAsia="Calibri" w:hAnsiTheme="majorHAnsi"/>
                <w:sz w:val="20"/>
                <w:szCs w:val="20"/>
                <w:lang w:val="pt-BR"/>
              </w:rPr>
              <w:t xml:space="preserve">ASSUNTOS RELACIONADOS </w:t>
            </w:r>
            <w:r>
              <w:rPr>
                <w:rFonts w:asciiTheme="majorHAnsi" w:eastAsia="Calibri" w:hAnsiTheme="majorHAnsi"/>
                <w:sz w:val="20"/>
                <w:szCs w:val="20"/>
                <w:lang w:val="pt-BR"/>
              </w:rPr>
              <w:t>À ANÁLISES TÉCNICAS</w:t>
            </w:r>
          </w:p>
        </w:tc>
      </w:tr>
      <w:tr w:rsidR="009C2FC9" w:rsidRPr="00031B8A" w14:paraId="504FAAC7" w14:textId="77777777" w:rsidTr="003F238D">
        <w:trPr>
          <w:trHeight w:val="699"/>
          <w:jc w:val="center"/>
        </w:trPr>
        <w:tc>
          <w:tcPr>
            <w:tcW w:w="2263" w:type="dxa"/>
            <w:shd w:val="clear" w:color="auto" w:fill="D9D9D9" w:themeFill="background1" w:themeFillShade="D9"/>
            <w:vAlign w:val="center"/>
          </w:tcPr>
          <w:p w14:paraId="3BB64B78" w14:textId="77777777" w:rsidR="009C2FC9" w:rsidRDefault="009C2FC9" w:rsidP="00B83CC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DISCUSSÕES,</w:t>
            </w:r>
          </w:p>
          <w:p w14:paraId="5B7A1388" w14:textId="77777777" w:rsidR="009C2FC9" w:rsidRDefault="009C2FC9" w:rsidP="00B83CC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754C398C" w14:textId="77777777" w:rsidR="009C2FC9" w:rsidRPr="008724F5" w:rsidRDefault="009C2FC9" w:rsidP="00B83CC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p>
        </w:tc>
        <w:tc>
          <w:tcPr>
            <w:tcW w:w="7925" w:type="dxa"/>
            <w:shd w:val="clear" w:color="auto" w:fill="auto"/>
            <w:vAlign w:val="center"/>
          </w:tcPr>
          <w:p w14:paraId="08489458" w14:textId="77777777" w:rsidR="009C2FC9" w:rsidRPr="00B30203" w:rsidRDefault="009C2FC9" w:rsidP="00B83CC5">
            <w:pPr>
              <w:spacing w:line="300" w:lineRule="auto"/>
              <w:rPr>
                <w:rFonts w:ascii="Cambria" w:eastAsia="Calibri" w:hAnsi="Cambria" w:cs="Times New Roman"/>
                <w:sz w:val="10"/>
                <w:szCs w:val="10"/>
                <w:lang w:val="pt-BR"/>
              </w:rPr>
            </w:pPr>
          </w:p>
          <w:p w14:paraId="6C8E44D3" w14:textId="4456E2D7" w:rsidR="009E789F" w:rsidRPr="002978BD" w:rsidRDefault="002978BD" w:rsidP="002978BD">
            <w:pPr>
              <w:pStyle w:val="PargrafodaLista"/>
              <w:numPr>
                <w:ilvl w:val="1"/>
                <w:numId w:val="5"/>
              </w:numPr>
              <w:rPr>
                <w:rFonts w:asciiTheme="majorHAnsi" w:eastAsia="Calibri" w:hAnsiTheme="majorHAnsi"/>
                <w:sz w:val="20"/>
                <w:szCs w:val="20"/>
                <w:lang w:val="pt-BR"/>
              </w:rPr>
            </w:pPr>
            <w:r w:rsidRPr="002978BD">
              <w:rPr>
                <w:rFonts w:asciiTheme="majorHAnsi" w:eastAsia="Calibri" w:hAnsiTheme="majorHAnsi"/>
                <w:sz w:val="20"/>
                <w:szCs w:val="20"/>
                <w:lang w:val="pt-BR"/>
              </w:rPr>
              <w:t xml:space="preserve">Protocolo 538903/2017. O </w:t>
            </w:r>
            <w:r>
              <w:rPr>
                <w:rFonts w:asciiTheme="majorHAnsi" w:eastAsia="Calibri" w:hAnsiTheme="majorHAnsi"/>
                <w:sz w:val="20"/>
                <w:szCs w:val="20"/>
                <w:lang w:val="pt-BR"/>
              </w:rPr>
              <w:t>assunto</w:t>
            </w:r>
            <w:r w:rsidRPr="002978BD">
              <w:rPr>
                <w:rFonts w:asciiTheme="majorHAnsi" w:eastAsia="Calibri" w:hAnsiTheme="majorHAnsi"/>
                <w:sz w:val="20"/>
                <w:szCs w:val="20"/>
                <w:lang w:val="pt-BR"/>
              </w:rPr>
              <w:t xml:space="preserve"> não foi analisado nesta sessão.</w:t>
            </w:r>
          </w:p>
          <w:p w14:paraId="16B27299" w14:textId="77777777" w:rsidR="002978BD" w:rsidRPr="002978BD" w:rsidRDefault="002978BD" w:rsidP="002978BD">
            <w:pPr>
              <w:pStyle w:val="PargrafodaLista"/>
              <w:ind w:left="360"/>
              <w:rPr>
                <w:rFonts w:asciiTheme="majorHAnsi" w:eastAsia="Calibri" w:hAnsiTheme="majorHAnsi"/>
                <w:sz w:val="20"/>
                <w:szCs w:val="20"/>
                <w:highlight w:val="yellow"/>
                <w:lang w:val="pt-BR"/>
              </w:rPr>
            </w:pPr>
          </w:p>
          <w:p w14:paraId="51334A43" w14:textId="554114DC" w:rsidR="00043280" w:rsidRPr="00023035" w:rsidRDefault="009E789F" w:rsidP="009E789F">
            <w:pPr>
              <w:pStyle w:val="PargrafodaLista"/>
              <w:numPr>
                <w:ilvl w:val="1"/>
                <w:numId w:val="5"/>
              </w:numPr>
              <w:spacing w:line="276" w:lineRule="auto"/>
              <w:rPr>
                <w:rFonts w:asciiTheme="majorHAnsi" w:eastAsia="Calibri" w:hAnsiTheme="majorHAnsi"/>
                <w:sz w:val="20"/>
                <w:szCs w:val="20"/>
                <w:lang w:val="pt-BR"/>
              </w:rPr>
            </w:pPr>
            <w:r w:rsidRPr="00023035">
              <w:rPr>
                <w:rFonts w:asciiTheme="majorHAnsi" w:eastAsia="Calibri" w:hAnsiTheme="majorHAnsi"/>
                <w:sz w:val="20"/>
                <w:szCs w:val="20"/>
                <w:lang w:val="pt-BR"/>
              </w:rPr>
              <w:t>Protocolo 1037114 (RRT SI9151771I00CT001): Contrato em língua estrangeira:</w:t>
            </w:r>
            <w:r w:rsidR="002978BD" w:rsidRPr="00023035">
              <w:rPr>
                <w:rFonts w:asciiTheme="majorHAnsi" w:eastAsia="Calibri" w:hAnsiTheme="majorHAnsi"/>
                <w:sz w:val="20"/>
                <w:szCs w:val="20"/>
                <w:lang w:val="pt-BR"/>
              </w:rPr>
              <w:t xml:space="preserve"> </w:t>
            </w:r>
            <w:r w:rsidR="002978BD" w:rsidRPr="00023035">
              <w:rPr>
                <w:rFonts w:asciiTheme="majorHAnsi" w:eastAsia="Calibri" w:hAnsiTheme="majorHAnsi"/>
                <w:sz w:val="20"/>
                <w:szCs w:val="20"/>
                <w:lang w:val="pt-BR"/>
              </w:rPr>
              <w:br/>
              <w:t>Após análise da situação, a Comissão deliberou que, para aprovação do RRT, o requerente deve</w:t>
            </w:r>
            <w:r w:rsidRPr="00023035">
              <w:rPr>
                <w:rFonts w:asciiTheme="majorHAnsi" w:eastAsia="Calibri" w:hAnsiTheme="majorHAnsi"/>
                <w:sz w:val="20"/>
                <w:szCs w:val="20"/>
                <w:lang w:val="pt-BR"/>
              </w:rPr>
              <w:t xml:space="preserve"> apresentar uma tradução </w:t>
            </w:r>
            <w:r w:rsidR="002978BD" w:rsidRPr="00023035">
              <w:rPr>
                <w:rFonts w:asciiTheme="majorHAnsi" w:eastAsia="Calibri" w:hAnsiTheme="majorHAnsi"/>
                <w:sz w:val="20"/>
                <w:szCs w:val="20"/>
                <w:lang w:val="pt-BR"/>
              </w:rPr>
              <w:t xml:space="preserve">do contrato </w:t>
            </w:r>
            <w:r w:rsidR="00935944" w:rsidRPr="00023035">
              <w:rPr>
                <w:rFonts w:asciiTheme="majorHAnsi" w:eastAsia="Calibri" w:hAnsiTheme="majorHAnsi"/>
                <w:sz w:val="20"/>
                <w:szCs w:val="20"/>
                <w:lang w:val="pt-BR"/>
              </w:rPr>
              <w:t>em estrutura formal</w:t>
            </w:r>
            <w:r w:rsidR="002978BD" w:rsidRPr="00023035">
              <w:rPr>
                <w:rFonts w:asciiTheme="majorHAnsi" w:eastAsia="Calibri" w:hAnsiTheme="majorHAnsi"/>
                <w:sz w:val="20"/>
                <w:szCs w:val="20"/>
                <w:lang w:val="pt-BR"/>
              </w:rPr>
              <w:t>, ainda que não seja através de tradutor juramentado.</w:t>
            </w:r>
          </w:p>
          <w:p w14:paraId="4B106DC3" w14:textId="55EDF730" w:rsidR="00BB53F0" w:rsidRPr="00043280" w:rsidRDefault="00BB53F0" w:rsidP="00043280">
            <w:pPr>
              <w:spacing w:line="300" w:lineRule="auto"/>
              <w:rPr>
                <w:rFonts w:asciiTheme="majorHAnsi" w:hAnsiTheme="majorHAnsi"/>
                <w:sz w:val="10"/>
                <w:szCs w:val="10"/>
                <w:lang w:val="pt-BR"/>
              </w:rPr>
            </w:pPr>
          </w:p>
        </w:tc>
      </w:tr>
      <w:tr w:rsidR="005A1D65" w:rsidRPr="00031B8A" w14:paraId="20906E0A" w14:textId="77777777" w:rsidTr="006D4636">
        <w:trPr>
          <w:trHeight w:val="70"/>
          <w:jc w:val="center"/>
        </w:trPr>
        <w:tc>
          <w:tcPr>
            <w:tcW w:w="10188" w:type="dxa"/>
            <w:gridSpan w:val="2"/>
            <w:tcBorders>
              <w:top w:val="single" w:sz="4" w:space="0" w:color="auto"/>
              <w:left w:val="nil"/>
              <w:bottom w:val="nil"/>
              <w:right w:val="nil"/>
            </w:tcBorders>
            <w:shd w:val="clear" w:color="auto" w:fill="auto"/>
            <w:vAlign w:val="center"/>
          </w:tcPr>
          <w:p w14:paraId="24F9DC98" w14:textId="56E319D1" w:rsidR="005A1D65" w:rsidRPr="008724F5" w:rsidRDefault="005A1D65" w:rsidP="006D4636">
            <w:pPr>
              <w:rPr>
                <w:sz w:val="10"/>
                <w:szCs w:val="10"/>
                <w:highlight w:val="yellow"/>
                <w:lang w:val="pt-BR"/>
              </w:rPr>
            </w:pPr>
          </w:p>
        </w:tc>
      </w:tr>
      <w:tr w:rsidR="005A1D65" w:rsidRPr="00043280" w14:paraId="092700F4" w14:textId="77777777" w:rsidTr="006D4636">
        <w:trPr>
          <w:trHeight w:val="330"/>
          <w:jc w:val="center"/>
        </w:trPr>
        <w:tc>
          <w:tcPr>
            <w:tcW w:w="2263" w:type="dxa"/>
            <w:shd w:val="clear" w:color="auto" w:fill="D9D9D9" w:themeFill="background1" w:themeFillShade="D9"/>
            <w:vAlign w:val="center"/>
          </w:tcPr>
          <w:p w14:paraId="5FDA3FA9" w14:textId="77777777" w:rsidR="005A1D65" w:rsidRPr="008724F5" w:rsidRDefault="005A1D65" w:rsidP="006D4636">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shd w:val="clear" w:color="auto" w:fill="auto"/>
            <w:vAlign w:val="center"/>
          </w:tcPr>
          <w:p w14:paraId="52C921EA" w14:textId="279CCA86" w:rsidR="005A1D65" w:rsidRPr="00144FD0" w:rsidRDefault="005A1D65" w:rsidP="006D4636">
            <w:pPr>
              <w:pStyle w:val="PargrafodaLista"/>
              <w:numPr>
                <w:ilvl w:val="0"/>
                <w:numId w:val="5"/>
              </w:numPr>
              <w:rPr>
                <w:rFonts w:asciiTheme="majorHAnsi" w:eastAsia="Calibri" w:hAnsiTheme="majorHAnsi"/>
                <w:sz w:val="20"/>
                <w:szCs w:val="20"/>
                <w:lang w:val="pt-BR"/>
              </w:rPr>
            </w:pPr>
            <w:r>
              <w:rPr>
                <w:rFonts w:asciiTheme="majorHAnsi" w:eastAsia="Calibri" w:hAnsiTheme="majorHAnsi"/>
                <w:sz w:val="20"/>
                <w:szCs w:val="20"/>
                <w:lang w:val="pt-BR"/>
              </w:rPr>
              <w:t>PLANO DE AÇÃO</w:t>
            </w:r>
          </w:p>
        </w:tc>
      </w:tr>
      <w:tr w:rsidR="005A1D65" w:rsidRPr="00031B8A" w14:paraId="5F3D463A" w14:textId="77777777" w:rsidTr="006D4636">
        <w:trPr>
          <w:trHeight w:val="699"/>
          <w:jc w:val="center"/>
        </w:trPr>
        <w:tc>
          <w:tcPr>
            <w:tcW w:w="2263" w:type="dxa"/>
            <w:shd w:val="clear" w:color="auto" w:fill="D9D9D9" w:themeFill="background1" w:themeFillShade="D9"/>
            <w:vAlign w:val="center"/>
          </w:tcPr>
          <w:p w14:paraId="385C362E" w14:textId="77777777" w:rsidR="005A1D65" w:rsidRDefault="005A1D65" w:rsidP="006D4636">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DISCUSSÕES,</w:t>
            </w:r>
          </w:p>
          <w:p w14:paraId="44975CA0" w14:textId="77777777" w:rsidR="005A1D65" w:rsidRDefault="005A1D65" w:rsidP="006D4636">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7DC93EC3" w14:textId="77777777" w:rsidR="005A1D65" w:rsidRPr="008724F5" w:rsidRDefault="005A1D65" w:rsidP="006D4636">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p>
        </w:tc>
        <w:tc>
          <w:tcPr>
            <w:tcW w:w="7925" w:type="dxa"/>
            <w:shd w:val="clear" w:color="auto" w:fill="auto"/>
            <w:vAlign w:val="center"/>
          </w:tcPr>
          <w:p w14:paraId="2C79BA79" w14:textId="77777777" w:rsidR="005A1D65" w:rsidRPr="00B30203" w:rsidRDefault="005A1D65" w:rsidP="006D4636">
            <w:pPr>
              <w:spacing w:line="300" w:lineRule="auto"/>
              <w:rPr>
                <w:rFonts w:ascii="Cambria" w:eastAsia="Calibri" w:hAnsi="Cambria" w:cs="Times New Roman"/>
                <w:sz w:val="10"/>
                <w:szCs w:val="10"/>
                <w:lang w:val="pt-BR"/>
              </w:rPr>
            </w:pPr>
          </w:p>
          <w:p w14:paraId="54F382B5" w14:textId="7ADE54A7" w:rsidR="005A1D65" w:rsidRDefault="00231EEB" w:rsidP="00231EEB">
            <w:pPr>
              <w:pStyle w:val="PargrafodaLista"/>
              <w:numPr>
                <w:ilvl w:val="1"/>
                <w:numId w:val="5"/>
              </w:numPr>
              <w:spacing w:line="300" w:lineRule="auto"/>
              <w:rPr>
                <w:rFonts w:asciiTheme="majorHAnsi" w:eastAsia="Calibri" w:hAnsiTheme="majorHAnsi"/>
                <w:sz w:val="20"/>
                <w:szCs w:val="20"/>
                <w:lang w:val="pt-BR"/>
              </w:rPr>
            </w:pPr>
            <w:r>
              <w:rPr>
                <w:rFonts w:asciiTheme="majorHAnsi" w:eastAsia="Calibri" w:hAnsiTheme="majorHAnsi"/>
                <w:sz w:val="20"/>
                <w:szCs w:val="20"/>
                <w:lang w:val="pt-BR"/>
              </w:rPr>
              <w:t xml:space="preserve">Após análise pelos conselheiros das contribuições colhidas na Consulta Pública realizada pelo CAU/MG, e considerando que a maior parte as manifestações dos participantes da consulta já estavam, direta ou indiretamente, contempladas no Plano de Ações de Fiscalização, o material recebido foi reorganizado, com algumas inserções, e enviado à Gerencia de Planejamento e Gestão Estratégica do CAU/MG, para compor o </w:t>
            </w:r>
            <w:r w:rsidRPr="00231EEB">
              <w:rPr>
                <w:rFonts w:asciiTheme="majorHAnsi" w:eastAsia="Calibri" w:hAnsiTheme="majorHAnsi"/>
                <w:sz w:val="20"/>
                <w:szCs w:val="20"/>
                <w:lang w:val="pt-BR"/>
              </w:rPr>
              <w:t>Pla</w:t>
            </w:r>
            <w:r>
              <w:rPr>
                <w:rFonts w:asciiTheme="majorHAnsi" w:eastAsia="Calibri" w:hAnsiTheme="majorHAnsi"/>
                <w:sz w:val="20"/>
                <w:szCs w:val="20"/>
                <w:lang w:val="pt-BR"/>
              </w:rPr>
              <w:t>no de Ações 2021-2023 do CAU/MG.</w:t>
            </w:r>
          </w:p>
          <w:p w14:paraId="1CEA2FED" w14:textId="77777777" w:rsidR="005A1D65" w:rsidRPr="00043280" w:rsidRDefault="005A1D65" w:rsidP="006D4636">
            <w:pPr>
              <w:spacing w:line="300" w:lineRule="auto"/>
              <w:rPr>
                <w:rFonts w:asciiTheme="majorHAnsi" w:hAnsiTheme="majorHAnsi"/>
                <w:sz w:val="10"/>
                <w:szCs w:val="10"/>
                <w:lang w:val="pt-BR"/>
              </w:rPr>
            </w:pPr>
          </w:p>
        </w:tc>
      </w:tr>
      <w:tr w:rsidR="005A1D65" w:rsidRPr="00031B8A" w14:paraId="63BBA3A2" w14:textId="77777777" w:rsidTr="006D4636">
        <w:trPr>
          <w:trHeight w:val="70"/>
          <w:jc w:val="center"/>
        </w:trPr>
        <w:tc>
          <w:tcPr>
            <w:tcW w:w="10188" w:type="dxa"/>
            <w:gridSpan w:val="2"/>
            <w:tcBorders>
              <w:left w:val="nil"/>
              <w:right w:val="nil"/>
            </w:tcBorders>
            <w:shd w:val="clear" w:color="auto" w:fill="auto"/>
            <w:vAlign w:val="center"/>
          </w:tcPr>
          <w:p w14:paraId="2CA68215" w14:textId="77777777" w:rsidR="005A1D65" w:rsidRDefault="005A1D65" w:rsidP="006D4636">
            <w:pPr>
              <w:rPr>
                <w:sz w:val="10"/>
                <w:szCs w:val="10"/>
                <w:highlight w:val="yellow"/>
                <w:lang w:val="pt-BR"/>
              </w:rPr>
            </w:pPr>
          </w:p>
          <w:p w14:paraId="0AD92744" w14:textId="77777777" w:rsidR="00F7051B" w:rsidRDefault="00F7051B" w:rsidP="006D4636">
            <w:pPr>
              <w:rPr>
                <w:sz w:val="10"/>
                <w:szCs w:val="10"/>
                <w:highlight w:val="yellow"/>
                <w:lang w:val="pt-BR"/>
              </w:rPr>
            </w:pPr>
          </w:p>
          <w:p w14:paraId="47C401B1" w14:textId="77777777" w:rsidR="00F7051B" w:rsidRDefault="00F7051B" w:rsidP="006D4636">
            <w:pPr>
              <w:rPr>
                <w:sz w:val="10"/>
                <w:szCs w:val="10"/>
                <w:highlight w:val="yellow"/>
                <w:lang w:val="pt-BR"/>
              </w:rPr>
            </w:pPr>
          </w:p>
          <w:p w14:paraId="4581C0A9" w14:textId="77777777" w:rsidR="00F7051B" w:rsidRDefault="00F7051B" w:rsidP="006D4636">
            <w:pPr>
              <w:rPr>
                <w:sz w:val="10"/>
                <w:szCs w:val="10"/>
                <w:highlight w:val="yellow"/>
                <w:lang w:val="pt-BR"/>
              </w:rPr>
            </w:pPr>
          </w:p>
          <w:p w14:paraId="1DC8F9AD" w14:textId="77777777" w:rsidR="00F7051B" w:rsidRDefault="00F7051B" w:rsidP="006D4636">
            <w:pPr>
              <w:rPr>
                <w:sz w:val="10"/>
                <w:szCs w:val="10"/>
                <w:highlight w:val="yellow"/>
                <w:lang w:val="pt-BR"/>
              </w:rPr>
            </w:pPr>
          </w:p>
          <w:p w14:paraId="20DF3597" w14:textId="77777777" w:rsidR="00F7051B" w:rsidRDefault="00F7051B" w:rsidP="006D4636">
            <w:pPr>
              <w:rPr>
                <w:sz w:val="10"/>
                <w:szCs w:val="10"/>
                <w:highlight w:val="yellow"/>
                <w:lang w:val="pt-BR"/>
              </w:rPr>
            </w:pPr>
          </w:p>
          <w:p w14:paraId="421F1300" w14:textId="77777777" w:rsidR="00F7051B" w:rsidRDefault="00F7051B" w:rsidP="006D4636">
            <w:pPr>
              <w:rPr>
                <w:sz w:val="10"/>
                <w:szCs w:val="10"/>
                <w:highlight w:val="yellow"/>
                <w:lang w:val="pt-BR"/>
              </w:rPr>
            </w:pPr>
          </w:p>
          <w:p w14:paraId="3D28C6D5" w14:textId="77777777" w:rsidR="00F7051B" w:rsidRDefault="00F7051B" w:rsidP="006D4636">
            <w:pPr>
              <w:rPr>
                <w:sz w:val="10"/>
                <w:szCs w:val="10"/>
                <w:highlight w:val="yellow"/>
                <w:lang w:val="pt-BR"/>
              </w:rPr>
            </w:pPr>
          </w:p>
          <w:p w14:paraId="4CBC0293" w14:textId="77777777" w:rsidR="00F7051B" w:rsidRPr="008724F5" w:rsidRDefault="00F7051B" w:rsidP="006D4636">
            <w:pPr>
              <w:rPr>
                <w:sz w:val="10"/>
                <w:szCs w:val="10"/>
                <w:highlight w:val="yellow"/>
                <w:lang w:val="pt-BR"/>
              </w:rPr>
            </w:pPr>
          </w:p>
        </w:tc>
      </w:tr>
      <w:tr w:rsidR="009C2FC9" w:rsidRPr="00231EEB" w14:paraId="35691F3D" w14:textId="77777777" w:rsidTr="00B83CC5">
        <w:trPr>
          <w:trHeight w:val="330"/>
          <w:jc w:val="center"/>
        </w:trPr>
        <w:tc>
          <w:tcPr>
            <w:tcW w:w="2263" w:type="dxa"/>
            <w:shd w:val="clear" w:color="auto" w:fill="D9D9D9" w:themeFill="background1" w:themeFillShade="D9"/>
            <w:vAlign w:val="center"/>
          </w:tcPr>
          <w:p w14:paraId="5127B65B" w14:textId="77777777" w:rsidR="009C2FC9" w:rsidRPr="008724F5" w:rsidRDefault="009C2FC9" w:rsidP="00B83CC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lastRenderedPageBreak/>
              <w:t>ITEM DE PAUTA:</w:t>
            </w:r>
          </w:p>
        </w:tc>
        <w:tc>
          <w:tcPr>
            <w:tcW w:w="7925" w:type="dxa"/>
            <w:shd w:val="clear" w:color="auto" w:fill="auto"/>
            <w:vAlign w:val="center"/>
          </w:tcPr>
          <w:p w14:paraId="7B8B9892" w14:textId="6FF7AA33" w:rsidR="009C2FC9" w:rsidRPr="0079491D" w:rsidRDefault="009C2FC9" w:rsidP="0079491D">
            <w:pPr>
              <w:pStyle w:val="PargrafodaLista"/>
              <w:numPr>
                <w:ilvl w:val="0"/>
                <w:numId w:val="5"/>
              </w:numPr>
              <w:rPr>
                <w:rFonts w:asciiTheme="majorHAnsi" w:eastAsia="Calibri" w:hAnsiTheme="majorHAnsi"/>
                <w:sz w:val="20"/>
                <w:szCs w:val="20"/>
                <w:lang w:val="pt-BR"/>
              </w:rPr>
            </w:pPr>
            <w:r w:rsidRPr="0079491D">
              <w:rPr>
                <w:rFonts w:asciiTheme="majorHAnsi" w:eastAsia="Calibri" w:hAnsiTheme="majorHAnsi"/>
                <w:sz w:val="20"/>
                <w:szCs w:val="20"/>
                <w:lang w:val="pt-BR"/>
              </w:rPr>
              <w:t>SOLICITAÇÃO DE MANIFESTAÇÃO:</w:t>
            </w:r>
          </w:p>
        </w:tc>
      </w:tr>
      <w:tr w:rsidR="009C2FC9" w:rsidRPr="009916E7" w14:paraId="0BB12E91" w14:textId="77777777" w:rsidTr="00B83CC5">
        <w:trPr>
          <w:trHeight w:val="1158"/>
          <w:jc w:val="center"/>
        </w:trPr>
        <w:tc>
          <w:tcPr>
            <w:tcW w:w="2263" w:type="dxa"/>
            <w:shd w:val="clear" w:color="auto" w:fill="D9D9D9" w:themeFill="background1" w:themeFillShade="D9"/>
            <w:vAlign w:val="center"/>
          </w:tcPr>
          <w:p w14:paraId="1CE026ED" w14:textId="77777777" w:rsidR="009C2FC9" w:rsidRDefault="009C2FC9" w:rsidP="00B83CC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DISCUSSÕES,</w:t>
            </w:r>
          </w:p>
          <w:p w14:paraId="5E421BAD" w14:textId="77777777" w:rsidR="009C2FC9" w:rsidRDefault="009C2FC9" w:rsidP="00B83CC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292CA3ED" w14:textId="77777777" w:rsidR="009C2FC9" w:rsidRPr="008724F5" w:rsidRDefault="009C2FC9" w:rsidP="00B83CC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p>
        </w:tc>
        <w:tc>
          <w:tcPr>
            <w:tcW w:w="7925" w:type="dxa"/>
            <w:shd w:val="clear" w:color="auto" w:fill="auto"/>
            <w:vAlign w:val="center"/>
          </w:tcPr>
          <w:p w14:paraId="7AAD9AFA" w14:textId="0A647F79" w:rsidR="00846D3E" w:rsidRPr="00846D3E" w:rsidRDefault="00846D3E" w:rsidP="00846D3E">
            <w:pPr>
              <w:spacing w:line="300" w:lineRule="auto"/>
              <w:rPr>
                <w:rFonts w:ascii="Cambria" w:eastAsia="Calibri" w:hAnsi="Cambria" w:cs="Times New Roman"/>
                <w:sz w:val="10"/>
                <w:szCs w:val="10"/>
                <w:lang w:val="pt-BR"/>
              </w:rPr>
            </w:pPr>
          </w:p>
          <w:p w14:paraId="1F2A4B53" w14:textId="6312B9BF" w:rsidR="00D66B18" w:rsidRPr="00805D2F" w:rsidRDefault="00D66B18" w:rsidP="00805D2F">
            <w:pPr>
              <w:pStyle w:val="PargrafodaLista"/>
              <w:numPr>
                <w:ilvl w:val="1"/>
                <w:numId w:val="5"/>
              </w:numPr>
              <w:rPr>
                <w:rFonts w:asciiTheme="majorHAnsi" w:eastAsia="Calibri" w:hAnsiTheme="majorHAnsi"/>
                <w:sz w:val="20"/>
                <w:szCs w:val="20"/>
                <w:lang w:val="pt-BR"/>
              </w:rPr>
            </w:pPr>
            <w:r w:rsidRPr="00805D2F">
              <w:rPr>
                <w:rFonts w:asciiTheme="majorHAnsi" w:eastAsia="Calibri" w:hAnsiTheme="majorHAnsi"/>
                <w:sz w:val="20"/>
                <w:szCs w:val="20"/>
                <w:lang w:val="pt-BR"/>
              </w:rPr>
              <w:t>Protocolo 1308482/2021: Alteração de carga horária de trabalho d</w:t>
            </w:r>
            <w:r w:rsidR="00805D2F">
              <w:rPr>
                <w:rFonts w:asciiTheme="majorHAnsi" w:eastAsia="Calibri" w:hAnsiTheme="majorHAnsi"/>
                <w:sz w:val="20"/>
                <w:szCs w:val="20"/>
                <w:lang w:val="pt-BR"/>
              </w:rPr>
              <w:t>a</w:t>
            </w:r>
            <w:r w:rsidRPr="00805D2F">
              <w:rPr>
                <w:rFonts w:asciiTheme="majorHAnsi" w:eastAsia="Calibri" w:hAnsiTheme="majorHAnsi"/>
                <w:sz w:val="20"/>
                <w:szCs w:val="20"/>
                <w:lang w:val="pt-BR"/>
              </w:rPr>
              <w:t xml:space="preserve"> agente de fiscalização</w:t>
            </w:r>
            <w:r w:rsidR="00805D2F" w:rsidRPr="00805D2F">
              <w:rPr>
                <w:lang w:val="pt-BR"/>
              </w:rPr>
              <w:t xml:space="preserve"> </w:t>
            </w:r>
            <w:r w:rsidR="00805D2F" w:rsidRPr="00805D2F">
              <w:rPr>
                <w:rFonts w:asciiTheme="majorHAnsi" w:eastAsia="Calibri" w:hAnsiTheme="majorHAnsi"/>
                <w:sz w:val="20"/>
                <w:szCs w:val="20"/>
                <w:lang w:val="pt-BR"/>
              </w:rPr>
              <w:t>lotada no Escritório Descentralizado do Tri</w:t>
            </w:r>
            <w:r w:rsidR="00805D2F">
              <w:rPr>
                <w:rFonts w:asciiTheme="majorHAnsi" w:eastAsia="Calibri" w:hAnsiTheme="majorHAnsi"/>
                <w:sz w:val="20"/>
                <w:szCs w:val="20"/>
                <w:lang w:val="pt-BR"/>
              </w:rPr>
              <w:t xml:space="preserve">angulo Mineiro e Alto Paranaíba, bem como </w:t>
            </w:r>
            <w:r w:rsidRPr="00805D2F">
              <w:rPr>
                <w:rFonts w:asciiTheme="majorHAnsi" w:eastAsia="Calibri" w:hAnsiTheme="majorHAnsi"/>
                <w:sz w:val="20"/>
                <w:szCs w:val="20"/>
                <w:lang w:val="pt-BR"/>
              </w:rPr>
              <w:t xml:space="preserve">possíveis implicações: </w:t>
            </w:r>
            <w:r w:rsidR="00805D2F" w:rsidRPr="00805D2F">
              <w:rPr>
                <w:rFonts w:asciiTheme="majorHAnsi" w:eastAsia="Calibri" w:hAnsiTheme="majorHAnsi"/>
                <w:sz w:val="20"/>
                <w:szCs w:val="20"/>
                <w:lang w:val="pt-BR"/>
              </w:rPr>
              <w:t>em análise da questão, a CEP considerou</w:t>
            </w:r>
            <w:r w:rsidRPr="00805D2F">
              <w:rPr>
                <w:rFonts w:asciiTheme="majorHAnsi" w:eastAsia="Calibri" w:hAnsiTheme="majorHAnsi"/>
                <w:sz w:val="20"/>
                <w:szCs w:val="20"/>
                <w:lang w:val="pt-BR"/>
              </w:rPr>
              <w:t xml:space="preserve"> que é mais vantajoso</w:t>
            </w:r>
            <w:r w:rsidR="00805D2F" w:rsidRPr="00805D2F">
              <w:rPr>
                <w:rFonts w:asciiTheme="majorHAnsi" w:eastAsia="Calibri" w:hAnsiTheme="majorHAnsi"/>
                <w:sz w:val="20"/>
                <w:szCs w:val="20"/>
                <w:lang w:val="pt-BR"/>
              </w:rPr>
              <w:t xml:space="preserve"> para Autarquia</w:t>
            </w:r>
            <w:r w:rsidRPr="00805D2F">
              <w:rPr>
                <w:rFonts w:asciiTheme="majorHAnsi" w:eastAsia="Calibri" w:hAnsiTheme="majorHAnsi"/>
                <w:sz w:val="20"/>
                <w:szCs w:val="20"/>
                <w:lang w:val="pt-BR"/>
              </w:rPr>
              <w:t xml:space="preserve"> financeiramente estender a carga horária</w:t>
            </w:r>
            <w:r w:rsidR="00805D2F" w:rsidRPr="00805D2F">
              <w:rPr>
                <w:rFonts w:asciiTheme="majorHAnsi" w:eastAsia="Calibri" w:hAnsiTheme="majorHAnsi"/>
                <w:sz w:val="20"/>
                <w:szCs w:val="20"/>
                <w:lang w:val="pt-BR"/>
              </w:rPr>
              <w:t xml:space="preserve">, se comparado a contratação de um novo agente, </w:t>
            </w:r>
            <w:r w:rsidRPr="00805D2F">
              <w:rPr>
                <w:rFonts w:asciiTheme="majorHAnsi" w:eastAsia="Calibri" w:hAnsiTheme="majorHAnsi"/>
                <w:sz w:val="20"/>
                <w:szCs w:val="20"/>
                <w:lang w:val="pt-BR"/>
              </w:rPr>
              <w:t>além d</w:t>
            </w:r>
            <w:r w:rsidR="00805D2F">
              <w:rPr>
                <w:rFonts w:asciiTheme="majorHAnsi" w:eastAsia="Calibri" w:hAnsiTheme="majorHAnsi"/>
                <w:sz w:val="20"/>
                <w:szCs w:val="20"/>
                <w:lang w:val="pt-BR"/>
              </w:rPr>
              <w:t>e fortalecer a atuação do Conselho na região, já havendo anteriormente se manifestado por tal alteração.</w:t>
            </w:r>
          </w:p>
          <w:p w14:paraId="2144A36C" w14:textId="77777777" w:rsidR="002978BD" w:rsidRPr="002978BD" w:rsidRDefault="002978BD" w:rsidP="002978BD">
            <w:pPr>
              <w:rPr>
                <w:rFonts w:asciiTheme="majorHAnsi" w:eastAsia="Calibri" w:hAnsiTheme="majorHAnsi"/>
                <w:sz w:val="10"/>
                <w:szCs w:val="10"/>
                <w:highlight w:val="yellow"/>
                <w:lang w:val="pt-BR"/>
              </w:rPr>
            </w:pPr>
          </w:p>
          <w:p w14:paraId="10B3E97C" w14:textId="032BB00C" w:rsidR="002978BD" w:rsidRPr="00904DD2" w:rsidRDefault="002978BD" w:rsidP="00904DD2">
            <w:pPr>
              <w:pStyle w:val="PargrafodaLista"/>
              <w:numPr>
                <w:ilvl w:val="1"/>
                <w:numId w:val="5"/>
              </w:numPr>
              <w:rPr>
                <w:rFonts w:asciiTheme="majorHAnsi" w:eastAsia="Calibri" w:hAnsiTheme="majorHAnsi"/>
                <w:sz w:val="20"/>
                <w:szCs w:val="20"/>
                <w:lang w:val="pt-BR"/>
              </w:rPr>
            </w:pPr>
            <w:r w:rsidRPr="00904DD2">
              <w:rPr>
                <w:rFonts w:asciiTheme="majorHAnsi" w:eastAsia="Calibri" w:hAnsiTheme="majorHAnsi"/>
                <w:sz w:val="20"/>
                <w:szCs w:val="20"/>
                <w:lang w:val="pt-BR"/>
              </w:rPr>
              <w:t xml:space="preserve">Protocolo 1308608: Projeto de Lei 626/2020, que dispõe sobre a regulamentação da atribuição de títulos profissionais, atividades, competências e caracterização do âmbito de atuação dos profissionais inseridos no Sistema </w:t>
            </w:r>
            <w:r w:rsidR="00904DD2" w:rsidRPr="00904DD2">
              <w:rPr>
                <w:rFonts w:asciiTheme="majorHAnsi" w:eastAsia="Calibri" w:hAnsiTheme="majorHAnsi"/>
                <w:sz w:val="20"/>
                <w:szCs w:val="20"/>
                <w:lang w:val="pt-BR"/>
              </w:rPr>
              <w:t>CONFEA/CREA</w:t>
            </w:r>
            <w:r w:rsidRPr="00904DD2">
              <w:rPr>
                <w:rFonts w:asciiTheme="majorHAnsi" w:eastAsia="Calibri" w:hAnsiTheme="majorHAnsi"/>
                <w:sz w:val="20"/>
                <w:szCs w:val="20"/>
                <w:lang w:val="pt-BR"/>
              </w:rPr>
              <w:t xml:space="preserve">, para efeito de fiscalização do exercício profissional: Após a análise do assunto, a Comissão deliberou sugerir à Presidência do CAU/MG </w:t>
            </w:r>
            <w:r w:rsidR="00904DD2" w:rsidRPr="00904DD2">
              <w:rPr>
                <w:rFonts w:asciiTheme="majorHAnsi" w:eastAsia="Calibri" w:hAnsiTheme="majorHAnsi"/>
                <w:sz w:val="20"/>
                <w:szCs w:val="20"/>
                <w:lang w:val="pt-BR"/>
              </w:rPr>
              <w:t xml:space="preserve">que oficie o deputado relator do Projeto de Lei, recomendando que inclua a Lei 12.378/2010 e o Conselho de Arquitetura e Urbanismo no instrumento legal, estendendo os efeitos da norma os profissionais arquitetos e urbanitas, uma vez que o esta Autarquia enfrenta os mesmos problemas que o projeto de lei tenta resolver. </w:t>
            </w:r>
          </w:p>
          <w:p w14:paraId="7E35A1D0" w14:textId="77777777" w:rsidR="00904DD2" w:rsidRPr="00904DD2" w:rsidRDefault="00904DD2" w:rsidP="00904DD2">
            <w:pPr>
              <w:rPr>
                <w:rFonts w:asciiTheme="majorHAnsi" w:eastAsia="Calibri" w:hAnsiTheme="majorHAnsi"/>
                <w:sz w:val="10"/>
                <w:szCs w:val="10"/>
                <w:lang w:val="pt-BR"/>
              </w:rPr>
            </w:pPr>
          </w:p>
          <w:p w14:paraId="24C241DB" w14:textId="44771720" w:rsidR="005A1D65" w:rsidRPr="00B71EF7" w:rsidRDefault="005A1D65" w:rsidP="00B71EF7">
            <w:pPr>
              <w:pStyle w:val="PargrafodaLista"/>
              <w:numPr>
                <w:ilvl w:val="1"/>
                <w:numId w:val="5"/>
              </w:numPr>
              <w:rPr>
                <w:rFonts w:asciiTheme="majorHAnsi" w:eastAsia="Calibri" w:hAnsiTheme="majorHAnsi"/>
                <w:sz w:val="20"/>
                <w:szCs w:val="20"/>
                <w:lang w:val="pt-BR"/>
              </w:rPr>
            </w:pPr>
            <w:r w:rsidRPr="00B71EF7">
              <w:rPr>
                <w:rFonts w:asciiTheme="majorHAnsi" w:eastAsia="Calibri" w:hAnsiTheme="majorHAnsi"/>
                <w:sz w:val="20"/>
                <w:szCs w:val="20"/>
                <w:lang w:val="pt-BR"/>
              </w:rPr>
              <w:t>Protocolo 1306715: Ação junto à Caixa Econômica Federal</w:t>
            </w:r>
            <w:r w:rsidR="00B71EF7" w:rsidRPr="00B71EF7">
              <w:rPr>
                <w:rFonts w:asciiTheme="majorHAnsi" w:eastAsia="Calibri" w:hAnsiTheme="majorHAnsi"/>
                <w:sz w:val="20"/>
                <w:szCs w:val="20"/>
                <w:lang w:val="pt-BR"/>
              </w:rPr>
              <w:t xml:space="preserve"> (CAIXA): Após análise da solicitação oriunda de profissional, e considerando os relatos da equipe técnica sobre a recepção </w:t>
            </w:r>
            <w:r w:rsidR="00B71EF7">
              <w:rPr>
                <w:rFonts w:asciiTheme="majorHAnsi" w:eastAsia="Calibri" w:hAnsiTheme="majorHAnsi"/>
                <w:sz w:val="20"/>
                <w:szCs w:val="20"/>
                <w:lang w:val="pt-BR"/>
              </w:rPr>
              <w:t>de RRTs pelo banco</w:t>
            </w:r>
            <w:r w:rsidR="00B71EF7" w:rsidRPr="00B71EF7">
              <w:rPr>
                <w:rFonts w:asciiTheme="majorHAnsi" w:eastAsia="Calibri" w:hAnsiTheme="majorHAnsi"/>
                <w:sz w:val="20"/>
                <w:szCs w:val="20"/>
                <w:lang w:val="pt-BR"/>
              </w:rPr>
              <w:t>, a CEP deliberou por sugeri</w:t>
            </w:r>
            <w:r w:rsidR="00B71EF7">
              <w:rPr>
                <w:rFonts w:asciiTheme="majorHAnsi" w:eastAsia="Calibri" w:hAnsiTheme="majorHAnsi"/>
                <w:sz w:val="20"/>
                <w:szCs w:val="20"/>
                <w:lang w:val="pt-BR"/>
              </w:rPr>
              <w:t>r</w:t>
            </w:r>
            <w:r w:rsidR="00B71EF7" w:rsidRPr="00B71EF7">
              <w:rPr>
                <w:rFonts w:asciiTheme="majorHAnsi" w:eastAsia="Calibri" w:hAnsiTheme="majorHAnsi"/>
                <w:sz w:val="20"/>
                <w:szCs w:val="20"/>
                <w:lang w:val="pt-BR"/>
              </w:rPr>
              <w:t xml:space="preserve"> à Gerência Geral que entre </w:t>
            </w:r>
            <w:r w:rsidRPr="00B71EF7">
              <w:rPr>
                <w:rFonts w:asciiTheme="majorHAnsi" w:eastAsia="Calibri" w:hAnsiTheme="majorHAnsi"/>
                <w:sz w:val="20"/>
                <w:szCs w:val="20"/>
                <w:lang w:val="pt-BR"/>
              </w:rPr>
              <w:t>em contato com a CAIXA</w:t>
            </w:r>
            <w:r w:rsidR="00B71EF7" w:rsidRPr="00B71EF7">
              <w:rPr>
                <w:rFonts w:asciiTheme="majorHAnsi" w:eastAsia="Calibri" w:hAnsiTheme="majorHAnsi"/>
                <w:sz w:val="20"/>
                <w:szCs w:val="20"/>
                <w:lang w:val="pt-BR"/>
              </w:rPr>
              <w:t xml:space="preserve"> para</w:t>
            </w:r>
            <w:r w:rsidRPr="00B71EF7">
              <w:rPr>
                <w:rFonts w:asciiTheme="majorHAnsi" w:eastAsia="Calibri" w:hAnsiTheme="majorHAnsi"/>
                <w:sz w:val="20"/>
                <w:szCs w:val="20"/>
                <w:lang w:val="pt-BR"/>
              </w:rPr>
              <w:t xml:space="preserve"> </w:t>
            </w:r>
            <w:r w:rsidR="00B71EF7" w:rsidRPr="00B71EF7">
              <w:rPr>
                <w:rFonts w:asciiTheme="majorHAnsi" w:eastAsia="Calibri" w:hAnsiTheme="majorHAnsi"/>
                <w:sz w:val="20"/>
                <w:szCs w:val="20"/>
                <w:lang w:val="pt-BR"/>
              </w:rPr>
              <w:t>r</w:t>
            </w:r>
            <w:r w:rsidRPr="00B71EF7">
              <w:rPr>
                <w:rFonts w:asciiTheme="majorHAnsi" w:eastAsia="Calibri" w:hAnsiTheme="majorHAnsi"/>
                <w:sz w:val="20"/>
                <w:szCs w:val="20"/>
                <w:lang w:val="pt-BR"/>
              </w:rPr>
              <w:t xml:space="preserve">evisar as orientações </w:t>
            </w:r>
            <w:r w:rsidR="00B71EF7" w:rsidRPr="00B71EF7">
              <w:rPr>
                <w:rFonts w:asciiTheme="majorHAnsi" w:eastAsia="Calibri" w:hAnsiTheme="majorHAnsi"/>
                <w:sz w:val="20"/>
                <w:szCs w:val="20"/>
                <w:lang w:val="pt-BR"/>
              </w:rPr>
              <w:t xml:space="preserve">eventualmente equivocadas que foram </w:t>
            </w:r>
            <w:r w:rsidRPr="00B71EF7">
              <w:rPr>
                <w:rFonts w:asciiTheme="majorHAnsi" w:eastAsia="Calibri" w:hAnsiTheme="majorHAnsi"/>
                <w:sz w:val="20"/>
                <w:szCs w:val="20"/>
                <w:lang w:val="pt-BR"/>
              </w:rPr>
              <w:t xml:space="preserve">repassadas </w:t>
            </w:r>
            <w:r w:rsidR="00B71EF7" w:rsidRPr="00B71EF7">
              <w:rPr>
                <w:rFonts w:asciiTheme="majorHAnsi" w:eastAsia="Calibri" w:hAnsiTheme="majorHAnsi"/>
                <w:sz w:val="20"/>
                <w:szCs w:val="20"/>
                <w:lang w:val="pt-BR"/>
              </w:rPr>
              <w:t>àquela instituição financeira, especialmente no que diz respeito a perda de validade de RRT inicial após ser retificado, dispensado a necessidade do inicial em seus processos, além de orientações gerais de aceite dos registros de responsabilidade.</w:t>
            </w:r>
          </w:p>
          <w:p w14:paraId="0AEB9B4A" w14:textId="2C7045FE" w:rsidR="00475E5D" w:rsidRPr="00475E5D" w:rsidRDefault="00475E5D" w:rsidP="00846D3E">
            <w:pPr>
              <w:spacing w:line="300" w:lineRule="auto"/>
              <w:jc w:val="both"/>
              <w:rPr>
                <w:rFonts w:ascii="Cambria" w:eastAsia="Calibri" w:hAnsi="Cambria" w:cs="Times New Roman"/>
                <w:sz w:val="10"/>
                <w:szCs w:val="10"/>
                <w:highlight w:val="yellow"/>
                <w:lang w:val="pt-BR"/>
              </w:rPr>
            </w:pPr>
          </w:p>
        </w:tc>
      </w:tr>
      <w:tr w:rsidR="00846D3E" w:rsidRPr="009916E7" w14:paraId="42E3BA32" w14:textId="77777777" w:rsidTr="002460D7">
        <w:trPr>
          <w:trHeight w:val="70"/>
          <w:jc w:val="center"/>
        </w:trPr>
        <w:tc>
          <w:tcPr>
            <w:tcW w:w="10188" w:type="dxa"/>
            <w:gridSpan w:val="2"/>
            <w:tcBorders>
              <w:left w:val="nil"/>
              <w:right w:val="nil"/>
            </w:tcBorders>
            <w:shd w:val="clear" w:color="auto" w:fill="auto"/>
            <w:vAlign w:val="center"/>
          </w:tcPr>
          <w:p w14:paraId="0F517434" w14:textId="368CF93B" w:rsidR="00846D3E" w:rsidRPr="008724F5" w:rsidRDefault="00846D3E" w:rsidP="002460D7">
            <w:pPr>
              <w:rPr>
                <w:sz w:val="10"/>
                <w:szCs w:val="10"/>
                <w:highlight w:val="yellow"/>
                <w:lang w:val="pt-BR"/>
              </w:rPr>
            </w:pPr>
          </w:p>
        </w:tc>
      </w:tr>
      <w:tr w:rsidR="00846D3E" w:rsidRPr="00D66B18" w14:paraId="4FBE77EA" w14:textId="77777777" w:rsidTr="002460D7">
        <w:trPr>
          <w:trHeight w:val="330"/>
          <w:jc w:val="center"/>
        </w:trPr>
        <w:tc>
          <w:tcPr>
            <w:tcW w:w="2263" w:type="dxa"/>
            <w:shd w:val="clear" w:color="auto" w:fill="D9D9D9" w:themeFill="background1" w:themeFillShade="D9"/>
            <w:vAlign w:val="center"/>
          </w:tcPr>
          <w:p w14:paraId="356AD8B2" w14:textId="77777777" w:rsidR="00846D3E" w:rsidRPr="008724F5" w:rsidRDefault="00846D3E" w:rsidP="002460D7">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shd w:val="clear" w:color="auto" w:fill="auto"/>
            <w:vAlign w:val="center"/>
          </w:tcPr>
          <w:p w14:paraId="5F07F7E8" w14:textId="5FDEFFB2" w:rsidR="00846D3E" w:rsidRPr="00A07397" w:rsidRDefault="0079491D" w:rsidP="0079491D">
            <w:pPr>
              <w:pStyle w:val="PargrafodaLista"/>
              <w:numPr>
                <w:ilvl w:val="0"/>
                <w:numId w:val="5"/>
              </w:numPr>
              <w:rPr>
                <w:rFonts w:asciiTheme="majorHAnsi" w:eastAsia="Calibri" w:hAnsiTheme="majorHAnsi"/>
                <w:sz w:val="20"/>
                <w:szCs w:val="20"/>
                <w:lang w:val="pt-BR"/>
              </w:rPr>
            </w:pPr>
            <w:r>
              <w:rPr>
                <w:rFonts w:asciiTheme="majorHAnsi" w:eastAsia="Calibri" w:hAnsiTheme="majorHAnsi"/>
                <w:sz w:val="20"/>
                <w:szCs w:val="20"/>
                <w:lang w:val="pt-BR"/>
              </w:rPr>
              <w:t>OUTROS ASSUNTOS</w:t>
            </w:r>
          </w:p>
        </w:tc>
      </w:tr>
      <w:tr w:rsidR="00846D3E" w:rsidRPr="00031B8A" w14:paraId="2AB8AD59" w14:textId="77777777" w:rsidTr="002460D7">
        <w:trPr>
          <w:trHeight w:val="1158"/>
          <w:jc w:val="center"/>
        </w:trPr>
        <w:tc>
          <w:tcPr>
            <w:tcW w:w="2263" w:type="dxa"/>
            <w:shd w:val="clear" w:color="auto" w:fill="D9D9D9" w:themeFill="background1" w:themeFillShade="D9"/>
            <w:vAlign w:val="center"/>
          </w:tcPr>
          <w:p w14:paraId="590B36C8" w14:textId="77777777" w:rsidR="00846D3E" w:rsidRDefault="00846D3E" w:rsidP="002460D7">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DISCUSSÕES,</w:t>
            </w:r>
          </w:p>
          <w:p w14:paraId="1E416A47" w14:textId="77777777" w:rsidR="00846D3E" w:rsidRDefault="00846D3E" w:rsidP="002460D7">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4E96F48B" w14:textId="77777777" w:rsidR="00846D3E" w:rsidRPr="008724F5" w:rsidRDefault="00846D3E" w:rsidP="002460D7">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p>
        </w:tc>
        <w:tc>
          <w:tcPr>
            <w:tcW w:w="7925" w:type="dxa"/>
            <w:shd w:val="clear" w:color="auto" w:fill="auto"/>
            <w:vAlign w:val="center"/>
          </w:tcPr>
          <w:p w14:paraId="33DE3DEA" w14:textId="77777777" w:rsidR="00846D3E" w:rsidRPr="00043280" w:rsidRDefault="00846D3E" w:rsidP="00A76EBB">
            <w:pPr>
              <w:spacing w:line="300" w:lineRule="auto"/>
              <w:rPr>
                <w:rFonts w:ascii="Cambria" w:eastAsia="Calibri" w:hAnsi="Cambria" w:cs="Times New Roman"/>
                <w:sz w:val="10"/>
                <w:szCs w:val="10"/>
                <w:lang w:val="pt-BR"/>
              </w:rPr>
            </w:pPr>
          </w:p>
          <w:p w14:paraId="2C0E905E" w14:textId="77777777" w:rsidR="00AD2D9C" w:rsidRDefault="0044192A" w:rsidP="00AD2D9C">
            <w:pPr>
              <w:pStyle w:val="PargrafodaLista"/>
              <w:numPr>
                <w:ilvl w:val="1"/>
                <w:numId w:val="5"/>
              </w:numPr>
              <w:rPr>
                <w:rFonts w:asciiTheme="majorHAnsi" w:eastAsia="Calibri" w:hAnsiTheme="majorHAnsi"/>
                <w:sz w:val="20"/>
                <w:szCs w:val="20"/>
                <w:lang w:val="pt-BR"/>
              </w:rPr>
            </w:pPr>
            <w:r w:rsidRPr="00AD2D9C">
              <w:rPr>
                <w:rFonts w:asciiTheme="majorHAnsi" w:eastAsia="Calibri" w:hAnsiTheme="majorHAnsi"/>
                <w:sz w:val="20"/>
                <w:szCs w:val="20"/>
                <w:lang w:val="pt-BR"/>
              </w:rPr>
              <w:t>Referente aos c</w:t>
            </w:r>
            <w:r w:rsidR="008B5E0B" w:rsidRPr="00AD2D9C">
              <w:rPr>
                <w:rFonts w:asciiTheme="majorHAnsi" w:eastAsia="Calibri" w:hAnsiTheme="majorHAnsi"/>
                <w:sz w:val="20"/>
                <w:szCs w:val="20"/>
                <w:lang w:val="pt-BR"/>
              </w:rPr>
              <w:t>omunicado</w:t>
            </w:r>
            <w:r w:rsidRPr="00AD2D9C">
              <w:rPr>
                <w:rFonts w:asciiTheme="majorHAnsi" w:eastAsia="Calibri" w:hAnsiTheme="majorHAnsi"/>
                <w:sz w:val="20"/>
                <w:szCs w:val="20"/>
                <w:lang w:val="pt-BR"/>
              </w:rPr>
              <w:t>s dados no início da sessão, a Comissão decidiu por pautar a discussão dos assuntos para a próxima reunião, sendo:</w:t>
            </w:r>
          </w:p>
          <w:p w14:paraId="5D9B7432" w14:textId="120AF4B2" w:rsidR="00AD2D9C" w:rsidRPr="00AD2D9C" w:rsidRDefault="0044192A" w:rsidP="00AD2D9C">
            <w:pPr>
              <w:pStyle w:val="PargrafodaLista"/>
              <w:numPr>
                <w:ilvl w:val="2"/>
                <w:numId w:val="5"/>
              </w:numPr>
              <w:ind w:left="885" w:hanging="567"/>
              <w:rPr>
                <w:rFonts w:asciiTheme="majorHAnsi" w:eastAsia="Calibri" w:hAnsiTheme="majorHAnsi"/>
                <w:sz w:val="20"/>
                <w:szCs w:val="20"/>
                <w:lang w:val="pt-BR"/>
              </w:rPr>
            </w:pPr>
            <w:r w:rsidRPr="00AD2D9C">
              <w:rPr>
                <w:rFonts w:ascii="Cambria" w:eastAsia="Calibri" w:hAnsi="Cambria" w:cs="Times New Roman"/>
                <w:sz w:val="20"/>
                <w:szCs w:val="20"/>
                <w:lang w:val="pt-BR"/>
              </w:rPr>
              <w:t xml:space="preserve">Para o comunicado ‘a’ (impugnação de editais de pregão eletrônico para contratação de serviços de arquitetura): </w:t>
            </w:r>
            <w:r w:rsidR="008B5E0B" w:rsidRPr="00AD2D9C">
              <w:rPr>
                <w:rFonts w:ascii="Cambria" w:eastAsia="Calibri" w:hAnsi="Cambria" w:cs="Times New Roman"/>
                <w:sz w:val="20"/>
                <w:szCs w:val="20"/>
                <w:lang w:val="pt-BR"/>
              </w:rPr>
              <w:t>defin</w:t>
            </w:r>
            <w:r w:rsidRPr="00AD2D9C">
              <w:rPr>
                <w:rFonts w:ascii="Cambria" w:eastAsia="Calibri" w:hAnsi="Cambria" w:cs="Times New Roman"/>
                <w:sz w:val="20"/>
                <w:szCs w:val="20"/>
                <w:lang w:val="pt-BR"/>
              </w:rPr>
              <w:t xml:space="preserve">ir estratégia de enfrentamento, evitando atuação específica no que se refere à modalidade de contratação e focar </w:t>
            </w:r>
            <w:r w:rsidR="00031B8A">
              <w:rPr>
                <w:rFonts w:ascii="Cambria" w:eastAsia="Calibri" w:hAnsi="Cambria" w:cs="Times New Roman"/>
                <w:sz w:val="20"/>
                <w:szCs w:val="20"/>
                <w:lang w:val="pt-BR"/>
              </w:rPr>
              <w:t>n</w:t>
            </w:r>
            <w:r w:rsidRPr="00AD2D9C">
              <w:rPr>
                <w:rFonts w:ascii="Cambria" w:eastAsia="Calibri" w:hAnsi="Cambria" w:cs="Times New Roman"/>
                <w:sz w:val="20"/>
                <w:szCs w:val="20"/>
                <w:lang w:val="pt-BR"/>
              </w:rPr>
              <w:t xml:space="preserve">a fiscalização no exercício profissional, incluindo a questão da modalidade em impugnações de editais com outras pendências, contudo, ressaltando os problemas de qualidade que podem ocasionar, além de comprometer a exequibilidade do objeto, pelo licitante vencedor, uma vez que, devido aos descontos concedidos, </w:t>
            </w:r>
            <w:r w:rsidR="004E5095" w:rsidRPr="00AD2D9C">
              <w:rPr>
                <w:rFonts w:ascii="Cambria" w:eastAsia="Calibri" w:hAnsi="Cambria" w:cs="Times New Roman"/>
                <w:sz w:val="20"/>
                <w:szCs w:val="20"/>
                <w:lang w:val="pt-BR"/>
              </w:rPr>
              <w:t xml:space="preserve">o pagamento de funcionários com formação técnica estaria comprometida. </w:t>
            </w:r>
          </w:p>
          <w:p w14:paraId="0D465590" w14:textId="2FC5872B" w:rsidR="004E5095" w:rsidRPr="00AD2D9C" w:rsidRDefault="004E5095" w:rsidP="00AD2D9C">
            <w:pPr>
              <w:pStyle w:val="PargrafodaLista"/>
              <w:numPr>
                <w:ilvl w:val="2"/>
                <w:numId w:val="5"/>
              </w:numPr>
              <w:ind w:left="885" w:hanging="567"/>
              <w:rPr>
                <w:rFonts w:asciiTheme="majorHAnsi" w:eastAsia="Calibri" w:hAnsiTheme="majorHAnsi"/>
                <w:sz w:val="20"/>
                <w:szCs w:val="20"/>
                <w:lang w:val="pt-BR"/>
              </w:rPr>
            </w:pPr>
            <w:r w:rsidRPr="00AD2D9C">
              <w:rPr>
                <w:rFonts w:ascii="Cambria" w:eastAsia="Calibri" w:hAnsi="Cambria" w:cs="Times New Roman"/>
                <w:sz w:val="20"/>
                <w:szCs w:val="20"/>
                <w:lang w:val="pt-BR"/>
              </w:rPr>
              <w:t>Para o c</w:t>
            </w:r>
            <w:r w:rsidR="0010775F" w:rsidRPr="00AD2D9C">
              <w:rPr>
                <w:rFonts w:ascii="Cambria" w:eastAsia="Calibri" w:hAnsi="Cambria" w:cs="Times New Roman"/>
                <w:sz w:val="20"/>
                <w:szCs w:val="20"/>
                <w:lang w:val="pt-BR"/>
              </w:rPr>
              <w:t xml:space="preserve">omunicado ‘b’: </w:t>
            </w:r>
            <w:r w:rsidRPr="00AD2D9C">
              <w:rPr>
                <w:rFonts w:ascii="Cambria" w:eastAsia="Calibri" w:hAnsi="Cambria" w:cs="Times New Roman"/>
                <w:sz w:val="20"/>
                <w:szCs w:val="20"/>
                <w:lang w:val="pt-BR"/>
              </w:rPr>
              <w:t>reanálise do normativo, para verificar a necessidade de revisá-lo, considerando a manifestação da Gerência Jurídica.</w:t>
            </w:r>
          </w:p>
          <w:p w14:paraId="7700F748" w14:textId="77777777" w:rsidR="00023035" w:rsidRPr="00AD2D9C" w:rsidRDefault="00023035" w:rsidP="00023035">
            <w:pPr>
              <w:rPr>
                <w:rFonts w:ascii="Cambria" w:eastAsia="Calibri" w:hAnsi="Cambria" w:cs="Times New Roman"/>
                <w:sz w:val="10"/>
                <w:szCs w:val="10"/>
                <w:lang w:val="pt-BR"/>
              </w:rPr>
            </w:pPr>
          </w:p>
          <w:p w14:paraId="4850CFC5" w14:textId="49E6C6FB" w:rsidR="00023035" w:rsidRPr="00AD2D9C" w:rsidRDefault="00023035" w:rsidP="00AD2D9C">
            <w:pPr>
              <w:pStyle w:val="PargrafodaLista"/>
              <w:numPr>
                <w:ilvl w:val="1"/>
                <w:numId w:val="5"/>
              </w:numPr>
              <w:rPr>
                <w:rFonts w:asciiTheme="majorHAnsi" w:eastAsia="Calibri" w:hAnsiTheme="majorHAnsi"/>
                <w:sz w:val="20"/>
                <w:szCs w:val="20"/>
                <w:lang w:val="pt-BR"/>
              </w:rPr>
            </w:pPr>
            <w:r w:rsidRPr="00AD2D9C">
              <w:rPr>
                <w:rFonts w:asciiTheme="majorHAnsi" w:eastAsia="Calibri" w:hAnsiTheme="majorHAnsi"/>
                <w:sz w:val="20"/>
                <w:szCs w:val="20"/>
                <w:lang w:val="pt-BR"/>
              </w:rPr>
              <w:t>Foi apresentada pelo Conselheiro Ademir Nogueira uma minuta de resposta a demanda extra pauta, encaminhada ao Conselho pela Prefeitura de Formiga/MG sobre atribuição de profissionais para realização de fichas de inventários, devendo essa minuta ser repassada à Gestão para revisão e encaminhamento àquela municipalidade.</w:t>
            </w:r>
          </w:p>
          <w:p w14:paraId="393E6BC1" w14:textId="77777777" w:rsidR="00846D3E" w:rsidRPr="00043280" w:rsidRDefault="00846D3E" w:rsidP="00043280">
            <w:pPr>
              <w:rPr>
                <w:rFonts w:ascii="Cambria" w:eastAsia="Calibri" w:hAnsi="Cambria" w:cs="Times New Roman"/>
                <w:sz w:val="10"/>
                <w:szCs w:val="10"/>
                <w:highlight w:val="yellow"/>
                <w:lang w:val="pt-BR"/>
              </w:rPr>
            </w:pPr>
          </w:p>
        </w:tc>
      </w:tr>
    </w:tbl>
    <w:p w14:paraId="17A4C184" w14:textId="5E4D2E2E" w:rsidR="009C2FC9" w:rsidRDefault="009C2FC9" w:rsidP="009C2FC9">
      <w:pPr>
        <w:rPr>
          <w:sz w:val="20"/>
          <w:szCs w:val="20"/>
          <w:lang w:val="pt-BR"/>
        </w:rPr>
      </w:pPr>
    </w:p>
    <w:p w14:paraId="190A36F4" w14:textId="77777777" w:rsidR="00F7051B" w:rsidRDefault="00F7051B" w:rsidP="009C2FC9">
      <w:pPr>
        <w:rPr>
          <w:sz w:val="20"/>
          <w:szCs w:val="20"/>
          <w:lang w:val="pt-BR"/>
        </w:rPr>
      </w:pPr>
    </w:p>
    <w:p w14:paraId="37EAE364" w14:textId="77777777" w:rsidR="00F7051B" w:rsidRDefault="00F7051B" w:rsidP="009C2FC9">
      <w:pPr>
        <w:rPr>
          <w:sz w:val="20"/>
          <w:szCs w:val="20"/>
          <w:lang w:val="pt-BR"/>
        </w:rPr>
      </w:pPr>
    </w:p>
    <w:p w14:paraId="4922485F" w14:textId="77777777" w:rsidR="00F7051B" w:rsidRDefault="00F7051B" w:rsidP="009C2FC9">
      <w:pPr>
        <w:rPr>
          <w:sz w:val="20"/>
          <w:szCs w:val="20"/>
          <w:lang w:val="pt-BR"/>
        </w:rPr>
      </w:pPr>
    </w:p>
    <w:p w14:paraId="433F4492" w14:textId="77777777" w:rsidR="00F7051B" w:rsidRDefault="00F7051B" w:rsidP="009C2FC9">
      <w:pPr>
        <w:rPr>
          <w:sz w:val="20"/>
          <w:szCs w:val="20"/>
          <w:lang w:val="pt-BR"/>
        </w:rPr>
      </w:pPr>
    </w:p>
    <w:p w14:paraId="6D3669A1" w14:textId="77777777" w:rsidR="00F7051B" w:rsidRDefault="00F7051B" w:rsidP="009C2FC9">
      <w:pPr>
        <w:rPr>
          <w:sz w:val="20"/>
          <w:szCs w:val="20"/>
          <w:lang w:val="pt-BR"/>
        </w:rPr>
      </w:pPr>
    </w:p>
    <w:p w14:paraId="5B7F4876" w14:textId="77777777" w:rsidR="00F7051B" w:rsidRDefault="00F7051B" w:rsidP="009C2FC9">
      <w:pPr>
        <w:rPr>
          <w:sz w:val="20"/>
          <w:szCs w:val="20"/>
          <w:lang w:val="pt-BR"/>
        </w:rPr>
      </w:pPr>
    </w:p>
    <w:p w14:paraId="3D0BC430" w14:textId="77777777" w:rsidR="00F7051B" w:rsidRDefault="00F7051B" w:rsidP="009C2FC9">
      <w:pPr>
        <w:rPr>
          <w:sz w:val="20"/>
          <w:szCs w:val="20"/>
          <w:lang w:val="pt-BR"/>
        </w:rPr>
      </w:pPr>
    </w:p>
    <w:p w14:paraId="07723FCE" w14:textId="77777777" w:rsidR="00F7051B" w:rsidRDefault="00F7051B" w:rsidP="009C2FC9">
      <w:pPr>
        <w:rPr>
          <w:sz w:val="20"/>
          <w:szCs w:val="20"/>
          <w:lang w:val="pt-BR"/>
        </w:rPr>
      </w:pPr>
    </w:p>
    <w:p w14:paraId="4506778F" w14:textId="77777777" w:rsidR="00F7051B" w:rsidRDefault="00F7051B" w:rsidP="009C2FC9">
      <w:pPr>
        <w:rPr>
          <w:sz w:val="20"/>
          <w:szCs w:val="20"/>
          <w:lang w:val="pt-BR"/>
        </w:rPr>
      </w:pPr>
    </w:p>
    <w:p w14:paraId="24258BDB" w14:textId="77777777" w:rsidR="00F7051B" w:rsidRDefault="00F7051B" w:rsidP="009C2FC9">
      <w:pPr>
        <w:rPr>
          <w:sz w:val="20"/>
          <w:szCs w:val="20"/>
          <w:lang w:val="pt-BR"/>
        </w:rPr>
      </w:pPr>
    </w:p>
    <w:tbl>
      <w:tblPr>
        <w:tblStyle w:val="Tabelacomgrade2"/>
        <w:tblW w:w="10188" w:type="dxa"/>
        <w:jc w:val="center"/>
        <w:tblLook w:val="04A0" w:firstRow="1" w:lastRow="0" w:firstColumn="1" w:lastColumn="0" w:noHBand="0" w:noVBand="1"/>
      </w:tblPr>
      <w:tblGrid>
        <w:gridCol w:w="5094"/>
        <w:gridCol w:w="5094"/>
      </w:tblGrid>
      <w:tr w:rsidR="009C2FC9" w:rsidRPr="00031B8A" w14:paraId="7DAABB99" w14:textId="77777777" w:rsidTr="00B83CC5">
        <w:trPr>
          <w:trHeight w:val="481"/>
          <w:jc w:val="center"/>
        </w:trPr>
        <w:tc>
          <w:tcPr>
            <w:tcW w:w="10188" w:type="dxa"/>
            <w:gridSpan w:val="2"/>
            <w:tcBorders>
              <w:bottom w:val="single" w:sz="4" w:space="0" w:color="auto"/>
            </w:tcBorders>
            <w:shd w:val="clear" w:color="auto" w:fill="D9D9D9" w:themeFill="background1" w:themeFillShade="D9"/>
            <w:vAlign w:val="center"/>
          </w:tcPr>
          <w:p w14:paraId="26A0B0C8" w14:textId="77777777" w:rsidR="009C2FC9" w:rsidRPr="00D22E01" w:rsidRDefault="009C2FC9" w:rsidP="00B83CC5">
            <w:pPr>
              <w:jc w:val="center"/>
              <w:rPr>
                <w:rFonts w:asciiTheme="majorHAnsi" w:hAnsiTheme="majorHAnsi"/>
                <w:sz w:val="24"/>
                <w:szCs w:val="24"/>
                <w:lang w:val="pt-BR"/>
              </w:rPr>
            </w:pPr>
            <w:r w:rsidRPr="00D22E01">
              <w:rPr>
                <w:rFonts w:asciiTheme="majorHAnsi" w:eastAsia="Calibri" w:hAnsiTheme="majorHAnsi" w:cs="Times New Roman"/>
                <w:b/>
                <w:sz w:val="24"/>
                <w:szCs w:val="24"/>
                <w:lang w:val="pt-BR"/>
              </w:rPr>
              <w:lastRenderedPageBreak/>
              <w:t>COMISSÃO DE EXERCÍCIO PROFISSIONAL DO CAU/MG</w:t>
            </w:r>
          </w:p>
        </w:tc>
      </w:tr>
      <w:tr w:rsidR="009C2FC9" w:rsidRPr="008B5E0B" w14:paraId="45BC2D2B" w14:textId="77777777" w:rsidTr="00B83CC5">
        <w:trPr>
          <w:trHeight w:val="481"/>
          <w:jc w:val="center"/>
        </w:trPr>
        <w:tc>
          <w:tcPr>
            <w:tcW w:w="5094" w:type="dxa"/>
            <w:tcBorders>
              <w:top w:val="single" w:sz="4" w:space="0" w:color="auto"/>
              <w:bottom w:val="single" w:sz="4" w:space="0" w:color="auto"/>
            </w:tcBorders>
            <w:shd w:val="clear" w:color="auto" w:fill="auto"/>
            <w:vAlign w:val="center"/>
          </w:tcPr>
          <w:p w14:paraId="19EBDFB6" w14:textId="77777777" w:rsidR="009C2FC9" w:rsidRPr="00035DCC" w:rsidRDefault="009C2FC9" w:rsidP="00B83CC5">
            <w:pPr>
              <w:widowControl/>
              <w:suppressLineNumbers/>
              <w:jc w:val="center"/>
              <w:rPr>
                <w:rFonts w:asciiTheme="majorHAnsi" w:hAnsiTheme="majorHAnsi" w:cs="Times New Roman"/>
                <w:sz w:val="20"/>
                <w:szCs w:val="20"/>
                <w:lang w:val="pt-BR"/>
              </w:rPr>
            </w:pPr>
            <w:r w:rsidRPr="00035DCC">
              <w:rPr>
                <w:rFonts w:asciiTheme="majorHAnsi" w:hAnsiTheme="majorHAnsi" w:cs="Times New Roman"/>
                <w:sz w:val="20"/>
                <w:szCs w:val="20"/>
                <w:lang w:val="pt-BR"/>
              </w:rPr>
              <w:t>CONSELHEIRO(A) ESTADUAL</w:t>
            </w:r>
          </w:p>
        </w:tc>
        <w:tc>
          <w:tcPr>
            <w:tcW w:w="5094" w:type="dxa"/>
            <w:tcBorders>
              <w:top w:val="single" w:sz="4" w:space="0" w:color="auto"/>
              <w:bottom w:val="single" w:sz="4" w:space="0" w:color="auto"/>
            </w:tcBorders>
            <w:shd w:val="clear" w:color="auto" w:fill="auto"/>
            <w:vAlign w:val="center"/>
          </w:tcPr>
          <w:p w14:paraId="08F1F7CD" w14:textId="77777777" w:rsidR="009C2FC9" w:rsidRPr="00035DCC" w:rsidRDefault="009C2FC9" w:rsidP="00B83CC5">
            <w:pPr>
              <w:jc w:val="center"/>
              <w:rPr>
                <w:rFonts w:asciiTheme="majorHAnsi" w:eastAsia="Calibri" w:hAnsiTheme="majorHAnsi"/>
                <w:sz w:val="20"/>
                <w:szCs w:val="20"/>
                <w:lang w:val="pt-BR"/>
              </w:rPr>
            </w:pPr>
            <w:r w:rsidRPr="00035DCC">
              <w:rPr>
                <w:rFonts w:asciiTheme="majorHAnsi" w:eastAsia="Calibri" w:hAnsiTheme="majorHAnsi"/>
                <w:sz w:val="20"/>
                <w:szCs w:val="20"/>
                <w:lang w:val="pt-BR"/>
              </w:rPr>
              <w:t>ASSINATURA</w:t>
            </w:r>
          </w:p>
        </w:tc>
      </w:tr>
      <w:tr w:rsidR="009C2FC9" w:rsidRPr="009916E7" w14:paraId="08A1B3B7" w14:textId="77777777" w:rsidTr="00B83CC5">
        <w:trPr>
          <w:trHeight w:val="481"/>
          <w:jc w:val="center"/>
        </w:trPr>
        <w:tc>
          <w:tcPr>
            <w:tcW w:w="5094" w:type="dxa"/>
            <w:tcBorders>
              <w:top w:val="single" w:sz="4" w:space="0" w:color="auto"/>
            </w:tcBorders>
            <w:shd w:val="clear" w:color="auto" w:fill="auto"/>
            <w:vAlign w:val="center"/>
          </w:tcPr>
          <w:p w14:paraId="5F1D9F37" w14:textId="77777777" w:rsidR="009C2FC9" w:rsidRDefault="009C2FC9" w:rsidP="00B83CC5">
            <w:pPr>
              <w:rPr>
                <w:rFonts w:asciiTheme="majorHAnsi" w:hAnsiTheme="majorHAnsi" w:cs="Times New Roman"/>
                <w:i/>
                <w:sz w:val="20"/>
                <w:szCs w:val="20"/>
                <w:lang w:val="pt-BR"/>
              </w:rPr>
            </w:pPr>
            <w:r w:rsidRPr="00035DCC">
              <w:rPr>
                <w:rFonts w:asciiTheme="majorHAnsi" w:hAnsiTheme="majorHAnsi" w:cs="Times New Roman"/>
                <w:sz w:val="20"/>
                <w:szCs w:val="20"/>
                <w:lang w:val="pt-BR"/>
              </w:rPr>
              <w:t xml:space="preserve">Fábio Almeida Vieira </w:t>
            </w:r>
            <w:r>
              <w:rPr>
                <w:rFonts w:asciiTheme="majorHAnsi" w:hAnsiTheme="majorHAnsi" w:cs="Times New Roman"/>
                <w:sz w:val="20"/>
                <w:szCs w:val="20"/>
                <w:lang w:val="pt-BR"/>
              </w:rPr>
              <w:t>–</w:t>
            </w:r>
            <w:r w:rsidRPr="00035DCC">
              <w:rPr>
                <w:rFonts w:asciiTheme="majorHAnsi" w:hAnsiTheme="majorHAnsi" w:cs="Times New Roman"/>
                <w:sz w:val="20"/>
                <w:szCs w:val="20"/>
                <w:lang w:val="pt-BR"/>
              </w:rPr>
              <w:t xml:space="preserve"> </w:t>
            </w:r>
            <w:r w:rsidRPr="00035DCC">
              <w:rPr>
                <w:rFonts w:asciiTheme="majorHAnsi" w:hAnsiTheme="majorHAnsi" w:cs="Times New Roman"/>
                <w:i/>
                <w:sz w:val="20"/>
                <w:szCs w:val="20"/>
                <w:lang w:val="pt-BR"/>
              </w:rPr>
              <w:t>Coordenador</w:t>
            </w:r>
          </w:p>
          <w:p w14:paraId="0E71DD98" w14:textId="77777777"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Pr="00035DCC">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Regina Coeli Gouveia Varella (S)</w:t>
            </w:r>
          </w:p>
        </w:tc>
        <w:tc>
          <w:tcPr>
            <w:tcW w:w="5094" w:type="dxa"/>
            <w:tcBorders>
              <w:top w:val="single" w:sz="4" w:space="0" w:color="auto"/>
            </w:tcBorders>
            <w:shd w:val="clear" w:color="auto" w:fill="auto"/>
            <w:vAlign w:val="center"/>
          </w:tcPr>
          <w:p w14:paraId="414ED72D" w14:textId="77777777" w:rsidR="009C2FC9" w:rsidRPr="00035DCC" w:rsidRDefault="009C2FC9" w:rsidP="00B83CC5">
            <w:pPr>
              <w:rPr>
                <w:rFonts w:asciiTheme="majorHAnsi" w:eastAsia="Calibri" w:hAnsiTheme="majorHAnsi"/>
                <w:sz w:val="20"/>
                <w:szCs w:val="20"/>
                <w:lang w:val="pt-BR"/>
              </w:rPr>
            </w:pPr>
          </w:p>
        </w:tc>
      </w:tr>
      <w:tr w:rsidR="009C2FC9" w:rsidRPr="00031B8A" w14:paraId="67D5CC77" w14:textId="77777777" w:rsidTr="00B83CC5">
        <w:trPr>
          <w:trHeight w:val="481"/>
          <w:jc w:val="center"/>
        </w:trPr>
        <w:tc>
          <w:tcPr>
            <w:tcW w:w="5094" w:type="dxa"/>
            <w:tcBorders>
              <w:top w:val="single" w:sz="4" w:space="0" w:color="auto"/>
            </w:tcBorders>
            <w:shd w:val="clear" w:color="auto" w:fill="auto"/>
            <w:vAlign w:val="center"/>
          </w:tcPr>
          <w:p w14:paraId="3E782934" w14:textId="77777777" w:rsidR="009C2FC9" w:rsidRDefault="009C2FC9" w:rsidP="00B83CC5">
            <w:pPr>
              <w:rPr>
                <w:rFonts w:asciiTheme="majorHAnsi" w:hAnsiTheme="majorHAnsi" w:cs="Times New Roman"/>
                <w:i/>
                <w:sz w:val="20"/>
                <w:szCs w:val="20"/>
                <w:lang w:val="pt-BR"/>
              </w:rPr>
            </w:pPr>
            <w:r w:rsidRPr="00035DCC">
              <w:rPr>
                <w:rFonts w:asciiTheme="majorHAnsi" w:hAnsiTheme="majorHAnsi" w:cs="Times New Roman"/>
                <w:sz w:val="20"/>
                <w:szCs w:val="20"/>
                <w:lang w:val="pt-BR"/>
              </w:rPr>
              <w:t xml:space="preserve">Lucas Lima Leonel Fonseca - </w:t>
            </w:r>
            <w:r w:rsidRPr="00035DCC">
              <w:rPr>
                <w:rFonts w:asciiTheme="majorHAnsi" w:hAnsiTheme="majorHAnsi" w:cs="Times New Roman"/>
                <w:i/>
                <w:sz w:val="20"/>
                <w:szCs w:val="20"/>
                <w:lang w:val="pt-BR"/>
              </w:rPr>
              <w:t>Coord. Adjunto</w:t>
            </w:r>
          </w:p>
          <w:p w14:paraId="22D192CC" w14:textId="50C338FE" w:rsidR="009C2FC9" w:rsidRPr="00035DCC" w:rsidRDefault="00F8363E"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9C2FC9" w:rsidRPr="00035DCC">
              <w:rPr>
                <w:rFonts w:asciiTheme="majorHAnsi" w:hAnsiTheme="majorHAnsi" w:cs="Times New Roman"/>
                <w:sz w:val="20"/>
                <w:szCs w:val="20"/>
                <w:lang w:val="pt-BR"/>
              </w:rPr>
              <w:t xml:space="preserve"> </w:t>
            </w:r>
            <w:r w:rsidR="009C2FC9" w:rsidRPr="00035DCC">
              <w:rPr>
                <w:rFonts w:asciiTheme="majorHAnsi" w:hAnsiTheme="majorHAnsi" w:cs="Times New Roman"/>
                <w:sz w:val="18"/>
                <w:szCs w:val="18"/>
                <w:lang w:val="pt-BR"/>
              </w:rPr>
              <w:t xml:space="preserve">Emmanuelle </w:t>
            </w:r>
            <w:r w:rsidR="009C2FC9">
              <w:rPr>
                <w:rFonts w:asciiTheme="majorHAnsi" w:hAnsiTheme="majorHAnsi" w:cs="Times New Roman"/>
                <w:sz w:val="18"/>
                <w:szCs w:val="18"/>
                <w:lang w:val="pt-BR"/>
              </w:rPr>
              <w:t>d</w:t>
            </w:r>
            <w:r w:rsidR="009C2FC9" w:rsidRPr="00035DCC">
              <w:rPr>
                <w:rFonts w:asciiTheme="majorHAnsi" w:hAnsiTheme="majorHAnsi" w:cs="Times New Roman"/>
                <w:sz w:val="18"/>
                <w:szCs w:val="18"/>
                <w:lang w:val="pt-BR"/>
              </w:rPr>
              <w:t>e Assis Silveira (S)</w:t>
            </w:r>
          </w:p>
        </w:tc>
        <w:tc>
          <w:tcPr>
            <w:tcW w:w="5094" w:type="dxa"/>
            <w:tcBorders>
              <w:top w:val="single" w:sz="4" w:space="0" w:color="auto"/>
            </w:tcBorders>
            <w:shd w:val="clear" w:color="auto" w:fill="auto"/>
            <w:vAlign w:val="center"/>
          </w:tcPr>
          <w:p w14:paraId="5CF96CF5" w14:textId="77777777" w:rsidR="009C2FC9" w:rsidRPr="00035DCC" w:rsidRDefault="009C2FC9" w:rsidP="00B83CC5">
            <w:pPr>
              <w:rPr>
                <w:rFonts w:asciiTheme="majorHAnsi" w:eastAsia="Calibri" w:hAnsiTheme="majorHAnsi"/>
                <w:sz w:val="20"/>
                <w:szCs w:val="20"/>
                <w:lang w:val="pt-BR"/>
              </w:rPr>
            </w:pPr>
          </w:p>
        </w:tc>
      </w:tr>
      <w:tr w:rsidR="009C2FC9" w:rsidRPr="009916E7" w14:paraId="11273E33" w14:textId="77777777" w:rsidTr="00B83CC5">
        <w:trPr>
          <w:trHeight w:val="481"/>
          <w:jc w:val="center"/>
        </w:trPr>
        <w:tc>
          <w:tcPr>
            <w:tcW w:w="5094" w:type="dxa"/>
            <w:tcBorders>
              <w:top w:val="single" w:sz="4" w:space="0" w:color="auto"/>
            </w:tcBorders>
            <w:shd w:val="clear" w:color="auto" w:fill="auto"/>
            <w:vAlign w:val="center"/>
          </w:tcPr>
          <w:p w14:paraId="1011ECCA"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Ademir Nogueira de Ávila</w:t>
            </w:r>
          </w:p>
          <w:p w14:paraId="1AB5C904" w14:textId="4C0A5249"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5D26D2">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Paulo Victor Yamim Pereira (S)</w:t>
            </w:r>
          </w:p>
        </w:tc>
        <w:tc>
          <w:tcPr>
            <w:tcW w:w="5094" w:type="dxa"/>
            <w:tcBorders>
              <w:top w:val="single" w:sz="4" w:space="0" w:color="auto"/>
            </w:tcBorders>
            <w:shd w:val="clear" w:color="auto" w:fill="auto"/>
            <w:vAlign w:val="center"/>
          </w:tcPr>
          <w:p w14:paraId="4AED6ACE" w14:textId="77777777" w:rsidR="009C2FC9" w:rsidRPr="00035DCC" w:rsidRDefault="009C2FC9" w:rsidP="00B83CC5">
            <w:pPr>
              <w:rPr>
                <w:rFonts w:asciiTheme="majorHAnsi" w:eastAsia="Calibri" w:hAnsiTheme="majorHAnsi"/>
                <w:sz w:val="20"/>
                <w:szCs w:val="20"/>
                <w:lang w:val="pt-BR"/>
              </w:rPr>
            </w:pPr>
          </w:p>
        </w:tc>
      </w:tr>
      <w:tr w:rsidR="009C2FC9" w:rsidRPr="00031B8A" w14:paraId="059E5B48" w14:textId="77777777" w:rsidTr="00B83CC5">
        <w:trPr>
          <w:trHeight w:val="481"/>
          <w:jc w:val="center"/>
        </w:trPr>
        <w:tc>
          <w:tcPr>
            <w:tcW w:w="5094" w:type="dxa"/>
            <w:tcBorders>
              <w:top w:val="single" w:sz="4" w:space="0" w:color="auto"/>
            </w:tcBorders>
            <w:shd w:val="clear" w:color="auto" w:fill="auto"/>
            <w:vAlign w:val="center"/>
          </w:tcPr>
          <w:p w14:paraId="2989EA71"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Felipe Colmanetti Moura</w:t>
            </w:r>
          </w:p>
          <w:p w14:paraId="2AF3C892" w14:textId="121EDC25"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Pr="00035DCC">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Thais Ribeiro Curi (S)</w:t>
            </w:r>
          </w:p>
        </w:tc>
        <w:tc>
          <w:tcPr>
            <w:tcW w:w="5094" w:type="dxa"/>
            <w:tcBorders>
              <w:top w:val="single" w:sz="4" w:space="0" w:color="auto"/>
            </w:tcBorders>
            <w:shd w:val="clear" w:color="auto" w:fill="auto"/>
            <w:vAlign w:val="center"/>
          </w:tcPr>
          <w:p w14:paraId="65624282" w14:textId="77777777" w:rsidR="009C2FC9" w:rsidRPr="00035DCC" w:rsidRDefault="009C2FC9" w:rsidP="00B83CC5">
            <w:pPr>
              <w:rPr>
                <w:rFonts w:asciiTheme="majorHAnsi" w:eastAsia="Calibri" w:hAnsiTheme="majorHAnsi"/>
                <w:sz w:val="20"/>
                <w:szCs w:val="20"/>
                <w:lang w:val="pt-BR"/>
              </w:rPr>
            </w:pPr>
          </w:p>
        </w:tc>
      </w:tr>
      <w:tr w:rsidR="009C2FC9" w:rsidRPr="009916E7" w14:paraId="236BD3BA" w14:textId="77777777" w:rsidTr="00B83CC5">
        <w:trPr>
          <w:trHeight w:val="481"/>
          <w:jc w:val="center"/>
        </w:trPr>
        <w:tc>
          <w:tcPr>
            <w:tcW w:w="5094" w:type="dxa"/>
            <w:tcBorders>
              <w:top w:val="single" w:sz="4" w:space="0" w:color="auto"/>
            </w:tcBorders>
            <w:shd w:val="clear" w:color="auto" w:fill="auto"/>
            <w:vAlign w:val="center"/>
          </w:tcPr>
          <w:p w14:paraId="27209BC5"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Rafael Decina Arantes</w:t>
            </w:r>
          </w:p>
          <w:p w14:paraId="29049A67" w14:textId="5E1D3573" w:rsidR="009C2FC9" w:rsidRPr="00035DCC" w:rsidRDefault="00846D3E"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9C2FC9" w:rsidRPr="00035DCC">
              <w:rPr>
                <w:rFonts w:asciiTheme="majorHAnsi" w:hAnsiTheme="majorHAnsi" w:cs="Times New Roman"/>
                <w:sz w:val="20"/>
                <w:szCs w:val="20"/>
                <w:lang w:val="pt-BR"/>
              </w:rPr>
              <w:t xml:space="preserve"> </w:t>
            </w:r>
            <w:r w:rsidR="009C2FC9" w:rsidRPr="00035DCC">
              <w:rPr>
                <w:rFonts w:asciiTheme="majorHAnsi" w:hAnsiTheme="majorHAnsi" w:cs="Times New Roman"/>
                <w:sz w:val="18"/>
                <w:szCs w:val="18"/>
                <w:lang w:val="pt-BR"/>
              </w:rPr>
              <w:t>Isabela Stiegert (S)</w:t>
            </w:r>
          </w:p>
        </w:tc>
        <w:tc>
          <w:tcPr>
            <w:tcW w:w="5094" w:type="dxa"/>
            <w:tcBorders>
              <w:top w:val="single" w:sz="4" w:space="0" w:color="auto"/>
            </w:tcBorders>
            <w:shd w:val="clear" w:color="auto" w:fill="auto"/>
            <w:vAlign w:val="center"/>
          </w:tcPr>
          <w:p w14:paraId="30A41FFC" w14:textId="77777777" w:rsidR="009C2FC9" w:rsidRPr="00035DCC" w:rsidRDefault="009C2FC9" w:rsidP="00B83CC5">
            <w:pPr>
              <w:rPr>
                <w:rFonts w:asciiTheme="majorHAnsi" w:eastAsia="Calibri" w:hAnsiTheme="majorHAnsi"/>
                <w:sz w:val="20"/>
                <w:szCs w:val="20"/>
                <w:lang w:val="pt-BR"/>
              </w:rPr>
            </w:pPr>
          </w:p>
        </w:tc>
      </w:tr>
    </w:tbl>
    <w:p w14:paraId="2A056E01" w14:textId="77777777" w:rsidR="009C2FC9" w:rsidRPr="008724F5" w:rsidRDefault="009C2FC9" w:rsidP="00B26BE0">
      <w:pPr>
        <w:rPr>
          <w:sz w:val="20"/>
          <w:szCs w:val="20"/>
          <w:lang w:val="pt-BR"/>
        </w:rPr>
      </w:pPr>
    </w:p>
    <w:sectPr w:rsidR="009C2FC9" w:rsidRPr="008724F5">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A5849" w14:textId="77777777" w:rsidR="00975AF2" w:rsidRDefault="00975AF2">
      <w:r>
        <w:separator/>
      </w:r>
    </w:p>
  </w:endnote>
  <w:endnote w:type="continuationSeparator" w:id="0">
    <w:p w14:paraId="0C367482" w14:textId="77777777" w:rsidR="00975AF2" w:rsidRDefault="0097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serif">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F1EDA" w14:textId="77777777" w:rsidR="00975AF2" w:rsidRDefault="00975AF2">
      <w:r>
        <w:separator/>
      </w:r>
    </w:p>
  </w:footnote>
  <w:footnote w:type="continuationSeparator" w:id="0">
    <w:p w14:paraId="770E4A24" w14:textId="77777777" w:rsidR="00975AF2" w:rsidRDefault="00975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1"/>
  </w:num>
  <w:num w:numId="2">
    <w:abstractNumId w:val="15"/>
  </w:num>
  <w:num w:numId="3">
    <w:abstractNumId w:val="8"/>
  </w:num>
  <w:num w:numId="4">
    <w:abstractNumId w:val="13"/>
  </w:num>
  <w:num w:numId="5">
    <w:abstractNumId w:val="7"/>
  </w:num>
  <w:num w:numId="6">
    <w:abstractNumId w:val="9"/>
  </w:num>
  <w:num w:numId="7">
    <w:abstractNumId w:val="4"/>
  </w:num>
  <w:num w:numId="8">
    <w:abstractNumId w:val="12"/>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2"/>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13E44"/>
    <w:rsid w:val="00023035"/>
    <w:rsid w:val="00031B8A"/>
    <w:rsid w:val="00031ECC"/>
    <w:rsid w:val="00032F5C"/>
    <w:rsid w:val="00034EDE"/>
    <w:rsid w:val="00035DCC"/>
    <w:rsid w:val="00036140"/>
    <w:rsid w:val="00042ECB"/>
    <w:rsid w:val="00043280"/>
    <w:rsid w:val="00074F63"/>
    <w:rsid w:val="00084D7A"/>
    <w:rsid w:val="000B24B8"/>
    <w:rsid w:val="000D5801"/>
    <w:rsid w:val="000E3837"/>
    <w:rsid w:val="000E60E2"/>
    <w:rsid w:val="000F056F"/>
    <w:rsid w:val="000F1ECC"/>
    <w:rsid w:val="0010775F"/>
    <w:rsid w:val="001104D7"/>
    <w:rsid w:val="00117E4A"/>
    <w:rsid w:val="001318DD"/>
    <w:rsid w:val="00131ADC"/>
    <w:rsid w:val="00144FD0"/>
    <w:rsid w:val="001533CF"/>
    <w:rsid w:val="001618BE"/>
    <w:rsid w:val="0017578F"/>
    <w:rsid w:val="00192F7D"/>
    <w:rsid w:val="001A4779"/>
    <w:rsid w:val="001B4C81"/>
    <w:rsid w:val="001C5F97"/>
    <w:rsid w:val="001D1B93"/>
    <w:rsid w:val="00204C0D"/>
    <w:rsid w:val="00211752"/>
    <w:rsid w:val="00212507"/>
    <w:rsid w:val="002209A3"/>
    <w:rsid w:val="00231EEB"/>
    <w:rsid w:val="002978BD"/>
    <w:rsid w:val="002A57A5"/>
    <w:rsid w:val="002C216D"/>
    <w:rsid w:val="002E6385"/>
    <w:rsid w:val="00313C4E"/>
    <w:rsid w:val="00317D68"/>
    <w:rsid w:val="00330D38"/>
    <w:rsid w:val="0033415D"/>
    <w:rsid w:val="003403DC"/>
    <w:rsid w:val="00347790"/>
    <w:rsid w:val="003526E8"/>
    <w:rsid w:val="003574F9"/>
    <w:rsid w:val="0037114A"/>
    <w:rsid w:val="003C1025"/>
    <w:rsid w:val="003D67E5"/>
    <w:rsid w:val="003F238D"/>
    <w:rsid w:val="00400BE8"/>
    <w:rsid w:val="0040101C"/>
    <w:rsid w:val="004019BC"/>
    <w:rsid w:val="0044192A"/>
    <w:rsid w:val="00475E5D"/>
    <w:rsid w:val="00481423"/>
    <w:rsid w:val="004A5592"/>
    <w:rsid w:val="004C4D47"/>
    <w:rsid w:val="004E5095"/>
    <w:rsid w:val="005202A3"/>
    <w:rsid w:val="00544B65"/>
    <w:rsid w:val="0055266E"/>
    <w:rsid w:val="00594763"/>
    <w:rsid w:val="005A1D65"/>
    <w:rsid w:val="005D26D2"/>
    <w:rsid w:val="00610DB9"/>
    <w:rsid w:val="0061502B"/>
    <w:rsid w:val="006232E4"/>
    <w:rsid w:val="00655AD6"/>
    <w:rsid w:val="0066517D"/>
    <w:rsid w:val="00686D15"/>
    <w:rsid w:val="00692726"/>
    <w:rsid w:val="006B1141"/>
    <w:rsid w:val="006B6454"/>
    <w:rsid w:val="006C0705"/>
    <w:rsid w:val="006D28CA"/>
    <w:rsid w:val="006D7BA9"/>
    <w:rsid w:val="006E6D2D"/>
    <w:rsid w:val="006F198E"/>
    <w:rsid w:val="00720A3D"/>
    <w:rsid w:val="00726421"/>
    <w:rsid w:val="00740BCD"/>
    <w:rsid w:val="00744EAA"/>
    <w:rsid w:val="00761C87"/>
    <w:rsid w:val="007703A8"/>
    <w:rsid w:val="0079491D"/>
    <w:rsid w:val="007958C6"/>
    <w:rsid w:val="007C5270"/>
    <w:rsid w:val="007F1BD0"/>
    <w:rsid w:val="007F6D70"/>
    <w:rsid w:val="00805D2F"/>
    <w:rsid w:val="008169CE"/>
    <w:rsid w:val="00827AA5"/>
    <w:rsid w:val="00845619"/>
    <w:rsid w:val="00846D3E"/>
    <w:rsid w:val="0084790C"/>
    <w:rsid w:val="008724F5"/>
    <w:rsid w:val="008B5E0B"/>
    <w:rsid w:val="008B6415"/>
    <w:rsid w:val="008C6FE0"/>
    <w:rsid w:val="008D6C47"/>
    <w:rsid w:val="00901AC9"/>
    <w:rsid w:val="00904DD2"/>
    <w:rsid w:val="00935944"/>
    <w:rsid w:val="00941BF7"/>
    <w:rsid w:val="00960864"/>
    <w:rsid w:val="00967C2C"/>
    <w:rsid w:val="00975AF2"/>
    <w:rsid w:val="009916E7"/>
    <w:rsid w:val="009B3A08"/>
    <w:rsid w:val="009C023E"/>
    <w:rsid w:val="009C1FAC"/>
    <w:rsid w:val="009C2FC9"/>
    <w:rsid w:val="009D0851"/>
    <w:rsid w:val="009D124E"/>
    <w:rsid w:val="009E789F"/>
    <w:rsid w:val="00A07397"/>
    <w:rsid w:val="00A27652"/>
    <w:rsid w:val="00A760FF"/>
    <w:rsid w:val="00A76EBB"/>
    <w:rsid w:val="00AC55C8"/>
    <w:rsid w:val="00AD2D9C"/>
    <w:rsid w:val="00B26BE0"/>
    <w:rsid w:val="00B30203"/>
    <w:rsid w:val="00B37AF7"/>
    <w:rsid w:val="00B44E9E"/>
    <w:rsid w:val="00B46377"/>
    <w:rsid w:val="00B66C82"/>
    <w:rsid w:val="00B71EF7"/>
    <w:rsid w:val="00BB29FA"/>
    <w:rsid w:val="00BB53F0"/>
    <w:rsid w:val="00BB7825"/>
    <w:rsid w:val="00C22179"/>
    <w:rsid w:val="00C5259B"/>
    <w:rsid w:val="00C6352D"/>
    <w:rsid w:val="00C73715"/>
    <w:rsid w:val="00C91F43"/>
    <w:rsid w:val="00CA5EF6"/>
    <w:rsid w:val="00CB5CAA"/>
    <w:rsid w:val="00CF2C23"/>
    <w:rsid w:val="00D07860"/>
    <w:rsid w:val="00D1503A"/>
    <w:rsid w:val="00D15B06"/>
    <w:rsid w:val="00D22E01"/>
    <w:rsid w:val="00D66B18"/>
    <w:rsid w:val="00D90689"/>
    <w:rsid w:val="00DA7171"/>
    <w:rsid w:val="00DC3D44"/>
    <w:rsid w:val="00DE447E"/>
    <w:rsid w:val="00E203D1"/>
    <w:rsid w:val="00E32874"/>
    <w:rsid w:val="00E9616C"/>
    <w:rsid w:val="00EC722C"/>
    <w:rsid w:val="00F00BA5"/>
    <w:rsid w:val="00F11E8A"/>
    <w:rsid w:val="00F17FA6"/>
    <w:rsid w:val="00F460F0"/>
    <w:rsid w:val="00F64A1C"/>
    <w:rsid w:val="00F7051B"/>
    <w:rsid w:val="00F8363E"/>
    <w:rsid w:val="00FA7D4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AB0A-5879-4F2D-B17E-4C528AE9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1355</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tadeu2</cp:lastModifiedBy>
  <cp:revision>18</cp:revision>
  <cp:lastPrinted>2021-06-25T13:35:00Z</cp:lastPrinted>
  <dcterms:created xsi:type="dcterms:W3CDTF">2021-04-20T11:43:00Z</dcterms:created>
  <dcterms:modified xsi:type="dcterms:W3CDTF">2021-06-25T13:35:00Z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