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C54CB5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31641E49" w:rsidR="00D673DB" w:rsidRPr="00F11990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  <w:r w:rsidR="00F11990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Ofício Circular do CAU/BR nº 024</w:t>
            </w:r>
          </w:p>
        </w:tc>
      </w:tr>
      <w:tr w:rsidR="00D673DB" w:rsidRPr="00C54CB5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884DDCD" w:rsidR="003E22CE" w:rsidRPr="00F11990" w:rsidRDefault="00D673DB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A4589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Plenário de Conselheiros</w:t>
            </w:r>
            <w:r w:rsidR="00AC2C8D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</w:t>
            </w:r>
          </w:p>
        </w:tc>
      </w:tr>
      <w:tr w:rsidR="00D673DB" w:rsidRPr="00C54CB5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48E4D8DA" w:rsidR="00D673DB" w:rsidRPr="00F11990" w:rsidRDefault="00F11990" w:rsidP="00F11990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MANIFESTAÇÃO SOBRE A PROPOSTA DE RESOLUÇÃO CGSIM Nº 64 DO MINISTÉRIO DA ECONOMIA</w:t>
            </w:r>
          </w:p>
        </w:tc>
      </w:tr>
      <w:bookmarkEnd w:id="0"/>
      <w:tr w:rsidR="00D673DB" w:rsidRPr="00C54CB5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C54CB5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291DBBA6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B64488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A7815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B64488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E2A9BE6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B64488">
        <w:rPr>
          <w:rFonts w:asciiTheme="majorHAnsi" w:hAnsiTheme="majorHAnsi" w:cs="Times New Roman"/>
          <w:lang w:val="pt-BR"/>
        </w:rPr>
        <w:t>19</w:t>
      </w:r>
      <w:r w:rsidR="003E22CE">
        <w:rPr>
          <w:rFonts w:asciiTheme="majorHAnsi" w:hAnsiTheme="majorHAnsi" w:cs="Times New Roman"/>
          <w:lang w:val="pt-BR"/>
        </w:rPr>
        <w:t xml:space="preserve"> de </w:t>
      </w:r>
      <w:r w:rsidR="00B64488">
        <w:rPr>
          <w:rFonts w:asciiTheme="majorHAnsi" w:hAnsiTheme="majorHAnsi" w:cs="Times New Roman"/>
          <w:lang w:val="pt-BR"/>
        </w:rPr>
        <w:t>abril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3C06C1">
        <w:rPr>
          <w:rFonts w:asciiTheme="majorHAnsi" w:hAnsiTheme="majorHAnsi" w:cs="Times New Roman"/>
          <w:lang w:val="pt-BR"/>
        </w:rPr>
        <w:t xml:space="preserve">normativas e regimentais, </w:t>
      </w:r>
      <w:r w:rsidRPr="008B36A9">
        <w:rPr>
          <w:rFonts w:asciiTheme="majorHAnsi" w:hAnsiTheme="majorHAnsi" w:cs="Times New Roman"/>
          <w:lang w:val="pt-BR"/>
        </w:rPr>
        <w:t>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1FA59516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2327B53D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3°. Em conformidade com a Lei n° 12.378, de 31 de dezembro de 2010, com o Regimento Geral do CAU e com o Regimento Interno do CAU/MG, compete ao CAU/MG, no âmbito de sua jurisdição:</w:t>
      </w:r>
    </w:p>
    <w:p w14:paraId="2A950B4C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 - </w:t>
      </w:r>
      <w:proofErr w:type="gramStart"/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zelar</w:t>
      </w:r>
      <w:proofErr w:type="gramEnd"/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pela dignidade, independência, prerrogativas e valorização cultural e técnico-científica do exercício da Arquitetura e Urbanismo;</w:t>
      </w:r>
    </w:p>
    <w:p w14:paraId="5A3FC624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II - </w:t>
      </w:r>
      <w:proofErr w:type="gramStart"/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posicionar-se</w:t>
      </w:r>
      <w:proofErr w:type="gramEnd"/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quanto a matérias de caráter legislativo, normativo ou contencioso em tramitação nos órgãos dos poderes Executivo, Legislativo e Judiciário;</w:t>
      </w:r>
    </w:p>
    <w:p w14:paraId="557DD46A" w14:textId="73A37523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312D68A3" w14:textId="5BA14917" w:rsidR="00A95079" w:rsidRDefault="00A95079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92. Compete às comissões ordinárias e especiais:</w:t>
      </w:r>
    </w:p>
    <w:p w14:paraId="59C17EE3" w14:textId="77777777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09E21E2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414DD56B" w14:textId="0E64F5F9" w:rsidR="00B64488" w:rsidRDefault="00B64488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D38FD3C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3CCD6E67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3E57E3D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20C5D7E0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a) fiscalização;</w:t>
      </w:r>
    </w:p>
    <w:p w14:paraId="4CCD022E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8F6E813" w14:textId="04DC9CA6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i) atividades técnicas no exercício da Arquitetura e Urbanismo;</w:t>
      </w:r>
    </w:p>
    <w:p w14:paraId="6ABF207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AC68E36" w14:textId="0DE3166E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156. Compete ao Conselho Diretor:</w:t>
      </w:r>
    </w:p>
    <w:p w14:paraId="1902D31C" w14:textId="77B0EDC1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 - </w:t>
      </w:r>
      <w:proofErr w:type="gramStart"/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matérias de caráter legislativo, normativo ou contencioso em tramitação nos órgãos dos poderes Executivo, Legislativo e Judiciário, no âmbito de sua jurisdição, para envio à Presidência, podendo também ser encaminhadas para apreciação e deliberação de comissões pertinentes ou do Plenário;</w:t>
      </w:r>
    </w:p>
    <w:p w14:paraId="2E1ED8A5" w14:textId="77777777" w:rsidR="00B64488" w:rsidRDefault="00B64488" w:rsidP="00B6448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1DFFFB" w14:textId="7D075540" w:rsidR="00B64488" w:rsidRPr="00B64488" w:rsidRDefault="00B64488" w:rsidP="00F1199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</w:t>
      </w:r>
      <w:r w:rsidR="00F11990">
        <w:rPr>
          <w:rFonts w:asciiTheme="majorHAnsi" w:hAnsiTheme="majorHAnsi" w:cs="Times New Roman"/>
          <w:lang w:val="pt-BR"/>
        </w:rPr>
        <w:t xml:space="preserve">a solicitação da Presidência do CAU/MG, em consideração ao </w:t>
      </w:r>
      <w:r w:rsidR="00F11990" w:rsidRPr="00F11990">
        <w:rPr>
          <w:rFonts w:asciiTheme="majorHAnsi" w:hAnsiTheme="majorHAnsi" w:cs="Times New Roman"/>
          <w:lang w:val="pt-BR"/>
        </w:rPr>
        <w:t>Ofício Circular nº 024/2021-CAU/BR</w:t>
      </w:r>
      <w:r w:rsidR="00F11990">
        <w:rPr>
          <w:rFonts w:asciiTheme="majorHAnsi" w:hAnsiTheme="majorHAnsi" w:cs="Times New Roman"/>
          <w:lang w:val="pt-BR"/>
        </w:rPr>
        <w:t xml:space="preserve">, para que esta Comissão apresentasse contribuições relativas as propostas elencadas na </w:t>
      </w:r>
      <w:r w:rsidR="00F11990" w:rsidRPr="00F11990">
        <w:rPr>
          <w:rFonts w:asciiTheme="majorHAnsi" w:hAnsiTheme="majorHAnsi" w:cs="Times New Roman"/>
          <w:lang w:val="pt-BR"/>
        </w:rPr>
        <w:t>Resolução CGSIM 64</w:t>
      </w:r>
      <w:r w:rsidR="00F11990">
        <w:rPr>
          <w:rFonts w:asciiTheme="majorHAnsi" w:hAnsiTheme="majorHAnsi" w:cs="Times New Roman"/>
          <w:lang w:val="pt-BR"/>
        </w:rPr>
        <w:t xml:space="preserve"> </w:t>
      </w:r>
      <w:r w:rsidR="00F11990" w:rsidRPr="00F11990">
        <w:rPr>
          <w:rFonts w:asciiTheme="majorHAnsi" w:hAnsiTheme="majorHAnsi" w:cs="Times New Roman"/>
          <w:lang w:val="pt-BR"/>
        </w:rPr>
        <w:t xml:space="preserve">do </w:t>
      </w:r>
      <w:r w:rsidR="00F11990">
        <w:rPr>
          <w:rFonts w:asciiTheme="majorHAnsi" w:hAnsiTheme="majorHAnsi" w:cs="Times New Roman"/>
          <w:lang w:val="pt-BR"/>
        </w:rPr>
        <w:t>M</w:t>
      </w:r>
      <w:r w:rsidR="00F11990" w:rsidRPr="00F11990">
        <w:rPr>
          <w:rFonts w:asciiTheme="majorHAnsi" w:hAnsiTheme="majorHAnsi" w:cs="Times New Roman"/>
          <w:lang w:val="pt-BR"/>
        </w:rPr>
        <w:t>inistério da Economia,</w:t>
      </w:r>
      <w:r w:rsidR="00F11990">
        <w:rPr>
          <w:rFonts w:asciiTheme="majorHAnsi" w:hAnsiTheme="majorHAnsi" w:cs="Times New Roman"/>
          <w:lang w:val="pt-BR"/>
        </w:rPr>
        <w:t xml:space="preserve"> a serem enviadas </w:t>
      </w:r>
      <w:r w:rsidR="00F11990" w:rsidRPr="00F11990">
        <w:rPr>
          <w:rFonts w:asciiTheme="majorHAnsi" w:hAnsiTheme="majorHAnsi" w:cs="Times New Roman"/>
          <w:lang w:val="pt-BR"/>
        </w:rPr>
        <w:t>para análise e manifestação do</w:t>
      </w:r>
      <w:r w:rsidR="00F11990">
        <w:rPr>
          <w:rFonts w:asciiTheme="majorHAnsi" w:hAnsiTheme="majorHAnsi" w:cs="Times New Roman"/>
          <w:lang w:val="pt-BR"/>
        </w:rPr>
        <w:t xml:space="preserve"> </w:t>
      </w:r>
      <w:r w:rsidR="00F11990" w:rsidRPr="00F11990">
        <w:rPr>
          <w:rFonts w:asciiTheme="majorHAnsi" w:hAnsiTheme="majorHAnsi" w:cs="Times New Roman"/>
          <w:lang w:val="pt-BR"/>
        </w:rPr>
        <w:t xml:space="preserve">Plenário </w:t>
      </w:r>
      <w:r w:rsidR="00F11990">
        <w:rPr>
          <w:rFonts w:asciiTheme="majorHAnsi" w:hAnsiTheme="majorHAnsi" w:cs="Times New Roman"/>
          <w:lang w:val="pt-BR"/>
        </w:rPr>
        <w:t xml:space="preserve">do CAU/MG na reunião de </w:t>
      </w:r>
      <w:r w:rsidR="00F11990" w:rsidRPr="00F11990">
        <w:rPr>
          <w:rFonts w:asciiTheme="majorHAnsi" w:hAnsiTheme="majorHAnsi" w:cs="Times New Roman"/>
          <w:lang w:val="pt-BR"/>
        </w:rPr>
        <w:t>20/04</w:t>
      </w:r>
      <w:r w:rsidR="00F11990">
        <w:rPr>
          <w:rFonts w:asciiTheme="majorHAnsi" w:hAnsiTheme="majorHAnsi" w:cs="Times New Roman"/>
          <w:lang w:val="pt-BR"/>
        </w:rPr>
        <w:t>/2021.</w:t>
      </w:r>
    </w:p>
    <w:p w14:paraId="2A5C427E" w14:textId="77777777" w:rsidR="00B64488" w:rsidRDefault="00B64488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5272B05" w14:textId="7069EAA9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4DDD6454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4C3167C" w14:textId="37D1A2A9" w:rsidR="00BC3539" w:rsidRDefault="00BC3539" w:rsidP="00BC353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Manifestar – para além das manifestações de outras entidades recebidas por esta Comissão – </w:t>
      </w:r>
      <w:r w:rsidR="00F11990">
        <w:rPr>
          <w:rFonts w:asciiTheme="majorHAnsi" w:hAnsiTheme="majorHAnsi" w:cs="Times New Roman"/>
          <w:lang w:val="pt-BR"/>
        </w:rPr>
        <w:t xml:space="preserve">suas considerações relativas à </w:t>
      </w:r>
      <w:r w:rsidRPr="00BC3539">
        <w:rPr>
          <w:rFonts w:asciiTheme="majorHAnsi" w:hAnsiTheme="majorHAnsi" w:cs="Times New Roman"/>
          <w:lang w:val="pt-BR"/>
        </w:rPr>
        <w:t>Resolução CGSIM nº 64 do Ministério da Economia</w:t>
      </w:r>
      <w:r w:rsidR="00C979E1">
        <w:rPr>
          <w:rFonts w:asciiTheme="majorHAnsi" w:hAnsiTheme="majorHAnsi" w:cs="Times New Roman"/>
          <w:lang w:val="pt-BR"/>
        </w:rPr>
        <w:t xml:space="preserve"> (que, em revisão, foi dividida em “Primeira Resolução” e “Segunda Resolução”)</w:t>
      </w:r>
      <w:r w:rsidRPr="00BC3539">
        <w:rPr>
          <w:rFonts w:asciiTheme="majorHAnsi" w:hAnsiTheme="majorHAnsi" w:cs="Times New Roman"/>
          <w:lang w:val="pt-BR"/>
        </w:rPr>
        <w:t>, nos termos que seguem:</w:t>
      </w:r>
    </w:p>
    <w:p w14:paraId="334C3F01" w14:textId="77777777" w:rsidR="00BC3539" w:rsidRDefault="00BC3539" w:rsidP="00BC3539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45AC531F" w14:textId="77777777" w:rsidR="00A45896" w:rsidRDefault="00BC3539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CEP-CAU/MG reconhece que existem pontos positivos numa proposição desta natureza, uma vez que – dadas as deficiências da maior parte das municipalidades do país em estabelecer processos sistematizados de licenciamento de edificações, obras e parcelamento do solo – seria pertinente o apoio do Governo Federal para a criação de </w:t>
      </w:r>
      <w:r w:rsidR="00F11990" w:rsidRPr="00BC3539">
        <w:rPr>
          <w:rFonts w:asciiTheme="majorHAnsi" w:hAnsiTheme="majorHAnsi" w:cs="Times New Roman"/>
          <w:lang w:val="pt-BR"/>
        </w:rPr>
        <w:t xml:space="preserve">sistema único, padronizado, </w:t>
      </w:r>
      <w:r>
        <w:rPr>
          <w:rFonts w:asciiTheme="majorHAnsi" w:hAnsiTheme="majorHAnsi" w:cs="Times New Roman"/>
          <w:lang w:val="pt-BR"/>
        </w:rPr>
        <w:t>cujos processos sejam de fácil assimilação por profissionais, proprietários e pelas equipes municipais de análise e aprovação.</w:t>
      </w:r>
    </w:p>
    <w:p w14:paraId="5D978218" w14:textId="77777777" w:rsidR="00A45896" w:rsidRDefault="00A45896" w:rsidP="0064672F">
      <w:pPr>
        <w:pStyle w:val="PargrafodaLista"/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</w:p>
    <w:p w14:paraId="0C7558CE" w14:textId="0CEACA64" w:rsidR="00BC3539" w:rsidRDefault="00A45896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 w:rsidRPr="00A45896">
        <w:rPr>
          <w:rFonts w:asciiTheme="majorHAnsi" w:hAnsiTheme="majorHAnsi" w:cs="Times New Roman"/>
          <w:lang w:val="pt-BR"/>
        </w:rPr>
        <w:t>Ressalvadas as considerações acima, é latente que o normativo proposto</w:t>
      </w:r>
      <w:r>
        <w:rPr>
          <w:rFonts w:asciiTheme="majorHAnsi" w:hAnsiTheme="majorHAnsi" w:cs="Times New Roman"/>
          <w:lang w:val="pt-BR"/>
        </w:rPr>
        <w:t xml:space="preserve"> interfere nas prerrogativas dos Executivos Municipais sem </w:t>
      </w:r>
      <w:r w:rsidRPr="00A45896">
        <w:rPr>
          <w:rFonts w:asciiTheme="majorHAnsi" w:hAnsiTheme="majorHAnsi" w:cs="Times New Roman"/>
          <w:lang w:val="pt-BR"/>
        </w:rPr>
        <w:t>considera</w:t>
      </w:r>
      <w:r>
        <w:rPr>
          <w:rFonts w:asciiTheme="majorHAnsi" w:hAnsiTheme="majorHAnsi" w:cs="Times New Roman"/>
          <w:lang w:val="pt-BR"/>
        </w:rPr>
        <w:t>r</w:t>
      </w:r>
      <w:r w:rsidRPr="00A45896">
        <w:rPr>
          <w:rFonts w:asciiTheme="majorHAnsi" w:hAnsiTheme="majorHAnsi" w:cs="Times New Roman"/>
          <w:lang w:val="pt-BR"/>
        </w:rPr>
        <w:t xml:space="preserve"> a realidade dos processos </w:t>
      </w:r>
      <w:r>
        <w:rPr>
          <w:rFonts w:asciiTheme="majorHAnsi" w:hAnsiTheme="majorHAnsi" w:cs="Times New Roman"/>
          <w:lang w:val="pt-BR"/>
        </w:rPr>
        <w:t>já estabelecidos</w:t>
      </w:r>
      <w:r w:rsidRPr="00A45896">
        <w:rPr>
          <w:rFonts w:asciiTheme="majorHAnsi" w:hAnsiTheme="majorHAnsi" w:cs="Times New Roman"/>
          <w:lang w:val="pt-BR"/>
        </w:rPr>
        <w:t xml:space="preserve">, uma vez que o documento faz confusão entre o licenciamento de obra </w:t>
      </w:r>
      <w:r>
        <w:rPr>
          <w:rFonts w:asciiTheme="majorHAnsi" w:hAnsiTheme="majorHAnsi" w:cs="Times New Roman"/>
          <w:lang w:val="pt-BR"/>
        </w:rPr>
        <w:t>e o</w:t>
      </w:r>
      <w:r w:rsidRPr="00A45896">
        <w:rPr>
          <w:rFonts w:asciiTheme="majorHAnsi" w:hAnsiTheme="majorHAnsi" w:cs="Times New Roman"/>
          <w:lang w:val="pt-BR"/>
        </w:rPr>
        <w:t xml:space="preserve"> licenciamento de atividade</w:t>
      </w:r>
      <w:r>
        <w:rPr>
          <w:rFonts w:asciiTheme="majorHAnsi" w:hAnsiTheme="majorHAnsi" w:cs="Times New Roman"/>
          <w:lang w:val="pt-BR"/>
        </w:rPr>
        <w:t xml:space="preserve">, dando a entender que uma eventual </w:t>
      </w:r>
      <w:r w:rsidRPr="00A45896">
        <w:rPr>
          <w:rFonts w:asciiTheme="majorHAnsi" w:hAnsiTheme="majorHAnsi" w:cs="Times New Roman"/>
          <w:lang w:val="pt-BR"/>
        </w:rPr>
        <w:t>mudança de uso pod</w:t>
      </w:r>
      <w:r>
        <w:rPr>
          <w:rFonts w:asciiTheme="majorHAnsi" w:hAnsiTheme="majorHAnsi" w:cs="Times New Roman"/>
          <w:lang w:val="pt-BR"/>
        </w:rPr>
        <w:t xml:space="preserve">eria ensejar a </w:t>
      </w:r>
      <w:r w:rsidRPr="00A45896">
        <w:rPr>
          <w:rFonts w:asciiTheme="majorHAnsi" w:hAnsiTheme="majorHAnsi" w:cs="Times New Roman"/>
          <w:lang w:val="pt-BR"/>
        </w:rPr>
        <w:t>perda do licenciamento da edificação</w:t>
      </w:r>
      <w:r>
        <w:rPr>
          <w:rFonts w:asciiTheme="majorHAnsi" w:hAnsiTheme="majorHAnsi" w:cs="Times New Roman"/>
          <w:lang w:val="pt-BR"/>
        </w:rPr>
        <w:t>, pois os processos estariam atrelados, segundo a proposta. Aponta-se ainda que, por realizar classificações por tipologia e por uso</w:t>
      </w:r>
      <w:r w:rsidR="00C12B27">
        <w:rPr>
          <w:rFonts w:asciiTheme="majorHAnsi" w:hAnsiTheme="majorHAnsi" w:cs="Times New Roman"/>
          <w:lang w:val="pt-BR"/>
        </w:rPr>
        <w:t xml:space="preserve"> (Anexo IV da Primeira Resolução)</w:t>
      </w:r>
      <w:r>
        <w:rPr>
          <w:rFonts w:asciiTheme="majorHAnsi" w:hAnsiTheme="majorHAnsi" w:cs="Times New Roman"/>
          <w:lang w:val="pt-BR"/>
        </w:rPr>
        <w:t>, n</w:t>
      </w:r>
      <w:r w:rsidRPr="00A45896">
        <w:rPr>
          <w:rFonts w:asciiTheme="majorHAnsi" w:hAnsiTheme="majorHAnsi" w:cs="Times New Roman"/>
          <w:lang w:val="pt-BR"/>
        </w:rPr>
        <w:t>ão há clareza</w:t>
      </w:r>
      <w:r>
        <w:rPr>
          <w:rFonts w:asciiTheme="majorHAnsi" w:hAnsiTheme="majorHAnsi" w:cs="Times New Roman"/>
          <w:lang w:val="pt-BR"/>
        </w:rPr>
        <w:t xml:space="preserve"> sobre edificações de uso misto, que existem em número significativo, especialmente em centralidades urbanas (áreas bastante sensíveis no planejamento urbano). </w:t>
      </w:r>
    </w:p>
    <w:p w14:paraId="7E590CA0" w14:textId="77777777" w:rsidR="00060F9C" w:rsidRPr="00060F9C" w:rsidRDefault="00060F9C" w:rsidP="0064672F">
      <w:pPr>
        <w:pStyle w:val="PargrafodaLista"/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</w:p>
    <w:p w14:paraId="22C1C2C0" w14:textId="72CA6C26" w:rsidR="00060F9C" w:rsidRDefault="00060F9C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 w:rsidRPr="00C12B27">
        <w:rPr>
          <w:rFonts w:asciiTheme="majorHAnsi" w:hAnsiTheme="majorHAnsi" w:cs="Times New Roman"/>
          <w:lang w:val="pt-BR"/>
        </w:rPr>
        <w:t>Os mecanismos inseridos na nova versão do documento que abrem espaço para arbítrio dos Municípios (Artigo 20; §3º e Anexo III</w:t>
      </w:r>
      <w:r w:rsidR="00C12B27">
        <w:rPr>
          <w:rFonts w:asciiTheme="majorHAnsi" w:hAnsiTheme="majorHAnsi" w:cs="Times New Roman"/>
          <w:lang w:val="pt-BR"/>
        </w:rPr>
        <w:t xml:space="preserve"> da Primeira Resolução</w:t>
      </w:r>
      <w:r w:rsidRPr="00C12B27">
        <w:rPr>
          <w:rFonts w:asciiTheme="majorHAnsi" w:hAnsiTheme="majorHAnsi" w:cs="Times New Roman"/>
          <w:lang w:val="pt-BR"/>
        </w:rPr>
        <w:t xml:space="preserve">), para estabelecer critérios locais de classificação </w:t>
      </w:r>
      <w:r w:rsidR="00C12B27">
        <w:rPr>
          <w:rFonts w:asciiTheme="majorHAnsi" w:hAnsiTheme="majorHAnsi" w:cs="Times New Roman"/>
          <w:lang w:val="pt-BR"/>
        </w:rPr>
        <w:t>“</w:t>
      </w:r>
      <w:r w:rsidRPr="00C12B27">
        <w:rPr>
          <w:rFonts w:asciiTheme="majorHAnsi" w:hAnsiTheme="majorHAnsi" w:cs="Times New Roman"/>
          <w:lang w:val="pt-BR"/>
        </w:rPr>
        <w:t>risco</w:t>
      </w:r>
      <w:r w:rsidR="00C12B27">
        <w:rPr>
          <w:rFonts w:asciiTheme="majorHAnsi" w:hAnsiTheme="majorHAnsi" w:cs="Times New Roman"/>
          <w:lang w:val="pt-BR"/>
        </w:rPr>
        <w:t xml:space="preserve"> urbanístico” </w:t>
      </w:r>
      <w:r w:rsidRPr="00C12B27">
        <w:rPr>
          <w:rFonts w:asciiTheme="majorHAnsi" w:hAnsiTheme="majorHAnsi" w:cs="Times New Roman"/>
          <w:lang w:val="pt-BR"/>
        </w:rPr>
        <w:t xml:space="preserve">pode acarretar, a depender da discricionariedade dos entes municipais, a redução </w:t>
      </w:r>
      <w:r w:rsidR="00C12B27" w:rsidRPr="00C12B27">
        <w:rPr>
          <w:rFonts w:asciiTheme="majorHAnsi" w:hAnsiTheme="majorHAnsi" w:cs="Times New Roman"/>
          <w:lang w:val="pt-BR"/>
        </w:rPr>
        <w:t>ou até mesmo eliminação da maior vantagem da proposta, que é a uniformização nacional dos processos de licenciamentos, o que poderia ser evitado se a resolução não se prestasse a estabelecer parâmetros urbanísticos</w:t>
      </w:r>
      <w:r w:rsidR="00C12B27">
        <w:rPr>
          <w:rFonts w:asciiTheme="majorHAnsi" w:hAnsiTheme="majorHAnsi" w:cs="Times New Roman"/>
          <w:lang w:val="pt-BR"/>
        </w:rPr>
        <w:t xml:space="preserve"> e servir apenas para obras de edificações por ela mesma classificada como “baixo risco urbanístico”, mas que propusesse um mecanismo tramitatório. Destarte, seria mais interessante consolidar e incrementar o </w:t>
      </w:r>
      <w:r w:rsidR="00C12B27" w:rsidRPr="00F11990">
        <w:rPr>
          <w:rFonts w:asciiTheme="majorHAnsi" w:hAnsiTheme="majorHAnsi" w:cs="Times New Roman"/>
          <w:lang w:val="pt-BR"/>
        </w:rPr>
        <w:t xml:space="preserve">Cadastro Nacional de Obras </w:t>
      </w:r>
      <w:r w:rsidR="00C12B27">
        <w:rPr>
          <w:rFonts w:asciiTheme="majorHAnsi" w:hAnsiTheme="majorHAnsi" w:cs="Times New Roman"/>
          <w:lang w:val="pt-BR"/>
        </w:rPr>
        <w:t xml:space="preserve">da Receita Federal do Brasil </w:t>
      </w:r>
      <w:r w:rsidR="00F35473">
        <w:rPr>
          <w:rFonts w:asciiTheme="majorHAnsi" w:hAnsiTheme="majorHAnsi" w:cs="Times New Roman"/>
          <w:lang w:val="pt-BR"/>
        </w:rPr>
        <w:t>ao invés de</w:t>
      </w:r>
      <w:r w:rsidR="00C12B27" w:rsidRPr="00F11990">
        <w:rPr>
          <w:rFonts w:asciiTheme="majorHAnsi" w:hAnsiTheme="majorHAnsi" w:cs="Times New Roman"/>
          <w:lang w:val="pt-BR"/>
        </w:rPr>
        <w:t xml:space="preserve"> criar um novo sistema.</w:t>
      </w:r>
    </w:p>
    <w:p w14:paraId="42CE03C0" w14:textId="77777777" w:rsidR="00C979E1" w:rsidRPr="00C979E1" w:rsidRDefault="00C979E1" w:rsidP="0064672F">
      <w:pPr>
        <w:pStyle w:val="PargrafodaLista"/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</w:p>
    <w:p w14:paraId="2A68815B" w14:textId="13C7AA0F" w:rsidR="00BC3539" w:rsidRDefault="00C979E1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 w:rsidRPr="00C979E1">
        <w:rPr>
          <w:rFonts w:asciiTheme="majorHAnsi" w:hAnsiTheme="majorHAnsi" w:cs="Times New Roman"/>
          <w:lang w:val="pt-BR"/>
        </w:rPr>
        <w:t>No que se refere à atuação de profissionais habilitados, há no documento (Artigo 5º</w:t>
      </w:r>
      <w:r>
        <w:rPr>
          <w:rFonts w:asciiTheme="majorHAnsi" w:hAnsiTheme="majorHAnsi" w:cs="Times New Roman"/>
          <w:lang w:val="pt-BR"/>
        </w:rPr>
        <w:t>, I</w:t>
      </w:r>
      <w:r w:rsidRPr="00C979E1">
        <w:rPr>
          <w:rFonts w:asciiTheme="majorHAnsi" w:hAnsiTheme="majorHAnsi" w:cs="Times New Roman"/>
          <w:lang w:val="pt-BR"/>
        </w:rPr>
        <w:t xml:space="preserve"> da Primeira Resolução), restrições </w:t>
      </w:r>
      <w:r>
        <w:rPr>
          <w:rFonts w:asciiTheme="majorHAnsi" w:hAnsiTheme="majorHAnsi" w:cs="Times New Roman"/>
          <w:lang w:val="pt-BR"/>
        </w:rPr>
        <w:t xml:space="preserve">preocupantes, uma vez ficaria obstruído o exercício profissional de profissionais jovens ou que atuem em outras localidades, dada a dificuldades que encontrariam em cumprir os parâmetros exigidos de experiência pregressa para acessarem o sistema. </w:t>
      </w:r>
    </w:p>
    <w:p w14:paraId="70435D93" w14:textId="77777777" w:rsidR="00C979E1" w:rsidRPr="00C979E1" w:rsidRDefault="00C979E1" w:rsidP="0064672F">
      <w:pPr>
        <w:pStyle w:val="PargrafodaLista"/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</w:p>
    <w:p w14:paraId="752EF143" w14:textId="775780EC" w:rsidR="00C979E1" w:rsidRDefault="00C979E1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 w:rsidRPr="00F35473">
        <w:rPr>
          <w:rFonts w:asciiTheme="majorHAnsi" w:hAnsiTheme="majorHAnsi" w:cs="Times New Roman"/>
          <w:lang w:val="pt-BR"/>
        </w:rPr>
        <w:t xml:space="preserve">Os </w:t>
      </w:r>
      <w:r w:rsidR="00F11990" w:rsidRPr="00F35473">
        <w:rPr>
          <w:rFonts w:asciiTheme="majorHAnsi" w:hAnsiTheme="majorHAnsi" w:cs="Times New Roman"/>
          <w:lang w:val="pt-BR"/>
        </w:rPr>
        <w:t xml:space="preserve">requisitos </w:t>
      </w:r>
      <w:r w:rsidRPr="00F35473">
        <w:rPr>
          <w:rFonts w:asciiTheme="majorHAnsi" w:hAnsiTheme="majorHAnsi" w:cs="Times New Roman"/>
          <w:lang w:val="pt-BR"/>
        </w:rPr>
        <w:t xml:space="preserve">estabelecidos pelo normativos </w:t>
      </w:r>
      <w:r w:rsidR="00F11990" w:rsidRPr="00F35473">
        <w:rPr>
          <w:rFonts w:asciiTheme="majorHAnsi" w:hAnsiTheme="majorHAnsi" w:cs="Times New Roman"/>
          <w:lang w:val="pt-BR"/>
        </w:rPr>
        <w:t>são tantos</w:t>
      </w:r>
      <w:r w:rsidRPr="00F35473">
        <w:rPr>
          <w:rFonts w:asciiTheme="majorHAnsi" w:hAnsiTheme="majorHAnsi" w:cs="Times New Roman"/>
          <w:lang w:val="pt-BR"/>
        </w:rPr>
        <w:t xml:space="preserve"> e </w:t>
      </w:r>
      <w:r w:rsidR="00F11990" w:rsidRPr="00F35473">
        <w:rPr>
          <w:rFonts w:asciiTheme="majorHAnsi" w:hAnsiTheme="majorHAnsi" w:cs="Times New Roman"/>
          <w:lang w:val="pt-BR"/>
        </w:rPr>
        <w:t>tão complexos</w:t>
      </w:r>
      <w:r w:rsidRPr="00F35473">
        <w:rPr>
          <w:rFonts w:asciiTheme="majorHAnsi" w:hAnsiTheme="majorHAnsi" w:cs="Times New Roman"/>
          <w:lang w:val="pt-BR"/>
        </w:rPr>
        <w:t xml:space="preserve">, e recorre à linguagem tão distante do usual que </w:t>
      </w:r>
      <w:r w:rsidR="00F11990" w:rsidRPr="00F35473">
        <w:rPr>
          <w:rFonts w:asciiTheme="majorHAnsi" w:hAnsiTheme="majorHAnsi" w:cs="Times New Roman"/>
          <w:lang w:val="pt-BR"/>
        </w:rPr>
        <w:t>tendem a tornar o normativo inviável</w:t>
      </w:r>
      <w:r w:rsidRPr="00F35473">
        <w:rPr>
          <w:rFonts w:asciiTheme="majorHAnsi" w:hAnsiTheme="majorHAnsi" w:cs="Times New Roman"/>
          <w:lang w:val="pt-BR"/>
        </w:rPr>
        <w:t xml:space="preserve"> ou inassimilável, sobretudo – mas não apenas – nos municípios onde não há processo formal de licenciamento Exemplos que ilustram estes aspectos são </w:t>
      </w:r>
      <w:r w:rsidR="00F35473" w:rsidRPr="00F35473">
        <w:rPr>
          <w:rFonts w:asciiTheme="majorHAnsi" w:hAnsiTheme="majorHAnsi" w:cs="Times New Roman"/>
          <w:lang w:val="pt-BR"/>
        </w:rPr>
        <w:t>vislumbrados em todos os anexos da Primeira Resolução, mormente no número de tipos e espécies de estruturas do Anexo VI, ou da necessidade de contratar mais e um profissional (além de responsável técnico,  os estabelecidos</w:t>
      </w:r>
      <w:r w:rsidR="00F35473">
        <w:rPr>
          <w:rFonts w:asciiTheme="majorHAnsi" w:hAnsiTheme="majorHAnsi" w:cs="Times New Roman"/>
          <w:lang w:val="pt-BR"/>
        </w:rPr>
        <w:t xml:space="preserve"> na Segunda Resolução, na forma do “</w:t>
      </w:r>
      <w:r w:rsidR="00F35473" w:rsidRPr="00F35473">
        <w:rPr>
          <w:rFonts w:asciiTheme="majorHAnsi" w:hAnsiTheme="majorHAnsi" w:cs="Times New Roman"/>
          <w:lang w:val="pt-BR"/>
        </w:rPr>
        <w:t>Mercado de Procuradores Digitais de Integração</w:t>
      </w:r>
      <w:r w:rsidR="00F35473">
        <w:rPr>
          <w:rFonts w:asciiTheme="majorHAnsi" w:hAnsiTheme="majorHAnsi" w:cs="Times New Roman"/>
          <w:lang w:val="pt-BR"/>
        </w:rPr>
        <w:t xml:space="preserve"> </w:t>
      </w:r>
      <w:r w:rsidR="00F35473" w:rsidRPr="00F35473">
        <w:rPr>
          <w:rFonts w:asciiTheme="majorHAnsi" w:hAnsiTheme="majorHAnsi" w:cs="Times New Roman"/>
          <w:lang w:val="pt-BR"/>
        </w:rPr>
        <w:t xml:space="preserve">Urbanísticos de Integração Nacional </w:t>
      </w:r>
      <w:r w:rsidR="00F35473">
        <w:rPr>
          <w:rFonts w:asciiTheme="majorHAnsi" w:hAnsiTheme="majorHAnsi" w:cs="Times New Roman"/>
          <w:lang w:val="pt-BR"/>
        </w:rPr>
        <w:t>–</w:t>
      </w:r>
      <w:r w:rsidR="00F35473" w:rsidRPr="00F35473">
        <w:rPr>
          <w:rFonts w:asciiTheme="majorHAnsi" w:hAnsiTheme="majorHAnsi" w:cs="Times New Roman"/>
          <w:lang w:val="pt-BR"/>
        </w:rPr>
        <w:t xml:space="preserve"> MURIN</w:t>
      </w:r>
      <w:r w:rsidR="00F35473">
        <w:rPr>
          <w:rFonts w:asciiTheme="majorHAnsi" w:hAnsiTheme="majorHAnsi" w:cs="Times New Roman"/>
          <w:lang w:val="pt-BR"/>
        </w:rPr>
        <w:t>”, o que encontra correlação com a realidade econômica das cidades pequenas (justamente as que não possuem sistema e procedimentos de licenciamento de obras e precisam de apoio para que sejam estabelecidos)</w:t>
      </w:r>
      <w:r w:rsidR="00C636D3">
        <w:rPr>
          <w:rFonts w:asciiTheme="majorHAnsi" w:hAnsiTheme="majorHAnsi" w:cs="Times New Roman"/>
          <w:lang w:val="pt-BR"/>
        </w:rPr>
        <w:t>, sobretudo por serem os “</w:t>
      </w:r>
      <w:r w:rsidR="00C636D3" w:rsidRPr="00C636D3">
        <w:rPr>
          <w:rFonts w:asciiTheme="majorHAnsi" w:hAnsiTheme="majorHAnsi" w:cs="Times New Roman"/>
          <w:lang w:val="pt-BR"/>
        </w:rPr>
        <w:t xml:space="preserve">Procuradores Digitais de Integração – </w:t>
      </w:r>
      <w:proofErr w:type="spellStart"/>
      <w:r w:rsidR="00C636D3" w:rsidRPr="00C636D3">
        <w:rPr>
          <w:rFonts w:asciiTheme="majorHAnsi" w:hAnsiTheme="majorHAnsi" w:cs="Times New Roman"/>
          <w:lang w:val="pt-BR"/>
        </w:rPr>
        <w:t>PDIs</w:t>
      </w:r>
      <w:proofErr w:type="spellEnd"/>
      <w:r w:rsidR="00C636D3">
        <w:rPr>
          <w:rFonts w:asciiTheme="majorHAnsi" w:hAnsiTheme="majorHAnsi" w:cs="Times New Roman"/>
          <w:lang w:val="pt-BR"/>
        </w:rPr>
        <w:t>” pessoas jurídicas. (Artigo 5º; § 1º da segunda Resolução);</w:t>
      </w:r>
    </w:p>
    <w:p w14:paraId="762E98A8" w14:textId="77777777" w:rsidR="00C636D3" w:rsidRPr="00C636D3" w:rsidRDefault="00C636D3" w:rsidP="0064672F">
      <w:pPr>
        <w:pStyle w:val="PargrafodaLista"/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</w:p>
    <w:p w14:paraId="505BF2EE" w14:textId="5BF82427" w:rsidR="00C979E1" w:rsidRPr="00C979E1" w:rsidRDefault="00C636D3" w:rsidP="0064672F">
      <w:pPr>
        <w:pStyle w:val="PargrafodaLista"/>
        <w:numPr>
          <w:ilvl w:val="1"/>
          <w:numId w:val="16"/>
        </w:numPr>
        <w:suppressLineNumbers/>
        <w:spacing w:line="276" w:lineRule="auto"/>
        <w:ind w:left="993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Para que sejam esclarecidas a muitas dúvidas acumuladas nesta resolução, seria necessário que Governo Federal lançasse um </w:t>
      </w:r>
      <w:r w:rsidR="00C979E1" w:rsidRPr="00C979E1">
        <w:rPr>
          <w:rFonts w:asciiTheme="majorHAnsi" w:hAnsiTheme="majorHAnsi" w:cs="Times New Roman"/>
          <w:lang w:val="pt-BR"/>
        </w:rPr>
        <w:t>sistema piloto para que profissionais, entes públicos e proprietários conheçam</w:t>
      </w:r>
      <w:r>
        <w:rPr>
          <w:rFonts w:asciiTheme="majorHAnsi" w:hAnsiTheme="majorHAnsi" w:cs="Times New Roman"/>
          <w:lang w:val="pt-BR"/>
        </w:rPr>
        <w:t xml:space="preserve"> os mecanismos propostos.</w:t>
      </w:r>
    </w:p>
    <w:p w14:paraId="0B4D96B6" w14:textId="03D2BBEB" w:rsidR="00DE481A" w:rsidRDefault="00DE481A" w:rsidP="00F11990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F4E7AF4" w14:textId="1DEDA3C5" w:rsidR="00C979E1" w:rsidRPr="00552B8A" w:rsidRDefault="00060F9C" w:rsidP="00DB5178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552B8A">
        <w:rPr>
          <w:rFonts w:asciiTheme="majorHAnsi" w:hAnsiTheme="majorHAnsi" w:cs="Times New Roman"/>
          <w:lang w:val="pt-BR"/>
        </w:rPr>
        <w:t xml:space="preserve">No que se refere aos documentos </w:t>
      </w:r>
      <w:r w:rsidR="00C636D3" w:rsidRPr="00552B8A">
        <w:rPr>
          <w:rFonts w:asciiTheme="majorHAnsi" w:hAnsiTheme="majorHAnsi" w:cs="Times New Roman"/>
          <w:lang w:val="pt-BR"/>
        </w:rPr>
        <w:t>com contribuições de outras entidades recebidos para análise, esta Comissão, de maneira geral, compartilha com as opiniões e preocupações elencadas</w:t>
      </w:r>
      <w:r w:rsidR="00C54CB5">
        <w:rPr>
          <w:rFonts w:asciiTheme="majorHAnsi" w:hAnsiTheme="majorHAnsi" w:cs="Times New Roman"/>
          <w:lang w:val="pt-BR"/>
        </w:rPr>
        <w:t>, não havendo outras manifestações a expressar. C</w:t>
      </w:r>
      <w:r w:rsidR="00C636D3" w:rsidRPr="00552B8A">
        <w:rPr>
          <w:rFonts w:asciiTheme="majorHAnsi" w:hAnsiTheme="majorHAnsi" w:cs="Times New Roman"/>
          <w:lang w:val="pt-BR"/>
        </w:rPr>
        <w:t>onsidera, porém, que há necessidade de realizar um tratamento na l</w:t>
      </w:r>
      <w:r w:rsidR="00C979E1" w:rsidRPr="00552B8A">
        <w:rPr>
          <w:rFonts w:asciiTheme="majorHAnsi" w:hAnsiTheme="majorHAnsi" w:cs="Times New Roman"/>
          <w:lang w:val="pt-BR"/>
        </w:rPr>
        <w:t>inguagem</w:t>
      </w:r>
      <w:r w:rsidR="00552B8A" w:rsidRPr="00552B8A">
        <w:rPr>
          <w:rFonts w:asciiTheme="majorHAnsi" w:hAnsiTheme="majorHAnsi" w:cs="Times New Roman"/>
          <w:lang w:val="pt-BR"/>
        </w:rPr>
        <w:t xml:space="preserve"> das colocações, para que não sejam pejorativamente classificadas como “</w:t>
      </w:r>
      <w:r w:rsidR="00C979E1" w:rsidRPr="00552B8A">
        <w:rPr>
          <w:rFonts w:asciiTheme="majorHAnsi" w:hAnsiTheme="majorHAnsi" w:cs="Times New Roman"/>
          <w:lang w:val="pt-BR"/>
        </w:rPr>
        <w:t>de esquerda”</w:t>
      </w:r>
      <w:r w:rsidR="00552B8A" w:rsidRPr="00552B8A">
        <w:rPr>
          <w:rFonts w:asciiTheme="majorHAnsi" w:hAnsiTheme="majorHAnsi" w:cs="Times New Roman"/>
          <w:lang w:val="pt-BR"/>
        </w:rPr>
        <w:t xml:space="preserve"> pela equipe governamental – dado o discurso adotado pela atual gestão do País – evitando, assim, </w:t>
      </w:r>
      <w:r w:rsidR="00C979E1" w:rsidRPr="00552B8A">
        <w:rPr>
          <w:rFonts w:asciiTheme="majorHAnsi" w:hAnsiTheme="majorHAnsi" w:cs="Times New Roman"/>
          <w:lang w:val="pt-BR"/>
        </w:rPr>
        <w:t>criar resistência</w:t>
      </w:r>
      <w:r w:rsidR="00462C72">
        <w:rPr>
          <w:rFonts w:asciiTheme="majorHAnsi" w:hAnsiTheme="majorHAnsi" w:cs="Times New Roman"/>
          <w:lang w:val="pt-BR"/>
        </w:rPr>
        <w:t xml:space="preserve">s </w:t>
      </w:r>
      <w:r w:rsidR="00C979E1" w:rsidRPr="00552B8A">
        <w:rPr>
          <w:rFonts w:asciiTheme="majorHAnsi" w:hAnsiTheme="majorHAnsi" w:cs="Times New Roman"/>
          <w:lang w:val="pt-BR"/>
        </w:rPr>
        <w:t>no Ministério da Economia</w:t>
      </w:r>
      <w:r w:rsidR="00462C72">
        <w:rPr>
          <w:rFonts w:asciiTheme="majorHAnsi" w:hAnsiTheme="majorHAnsi" w:cs="Times New Roman"/>
          <w:lang w:val="pt-BR"/>
        </w:rPr>
        <w:t>, ou outros órgãos federais, em tratativas de interesse do Sistema CAU.</w:t>
      </w:r>
    </w:p>
    <w:p w14:paraId="76514569" w14:textId="77777777" w:rsidR="00060F9C" w:rsidRDefault="00060F9C" w:rsidP="00C636D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2B7E593A" w14:textId="0280D03F" w:rsidR="00060F9C" w:rsidRDefault="00DE481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</w:t>
      </w:r>
      <w:r w:rsidR="00060F9C">
        <w:rPr>
          <w:rFonts w:asciiTheme="majorHAnsi" w:hAnsiTheme="majorHAnsi" w:cs="Times New Roman"/>
          <w:lang w:val="pt-BR"/>
        </w:rPr>
        <w:t>ao Plenário de Conselheiros do CAU/MG o teor desta deliberação, para análise e considerações, nos termos da solicitação da Presidência desta Autarquia.</w:t>
      </w:r>
    </w:p>
    <w:p w14:paraId="574F27FC" w14:textId="77777777" w:rsidR="00880ED6" w:rsidRPr="00880ED6" w:rsidRDefault="00880ED6" w:rsidP="00880ED6">
      <w:pPr>
        <w:pStyle w:val="PargrafodaLista"/>
        <w:rPr>
          <w:rFonts w:asciiTheme="majorHAnsi" w:hAnsiTheme="majorHAnsi" w:cs="Times New Roman"/>
          <w:lang w:val="pt-BR"/>
        </w:rPr>
      </w:pPr>
    </w:p>
    <w:p w14:paraId="6AC65F9E" w14:textId="77777777" w:rsidR="00880ED6" w:rsidRDefault="00880ED6" w:rsidP="00880ED6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  <w:bookmarkStart w:id="1" w:name="_GoBack"/>
      <w:bookmarkEnd w:id="1"/>
    </w:p>
    <w:p w14:paraId="6BF7C6A5" w14:textId="77777777" w:rsidR="00DE481A" w:rsidRPr="00DE481A" w:rsidRDefault="00DE481A" w:rsidP="00DE481A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70AC4BE8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B64488" w:rsidRPr="00B64488">
        <w:rPr>
          <w:rFonts w:asciiTheme="majorHAnsi" w:hAnsiTheme="majorHAnsi" w:cs="Times New Roman"/>
          <w:lang w:val="pt-BR"/>
        </w:rPr>
        <w:t xml:space="preserve">19 de abril </w:t>
      </w:r>
      <w:r w:rsidR="00037BB2" w:rsidRPr="00037BB2">
        <w:rPr>
          <w:rFonts w:asciiTheme="majorHAnsi" w:hAnsiTheme="majorHAnsi" w:cs="Times New Roman"/>
          <w:lang w:val="pt-BR"/>
        </w:rPr>
        <w:t>de 2021</w:t>
      </w:r>
      <w:r>
        <w:rPr>
          <w:rFonts w:asciiTheme="majorHAnsi" w:hAnsiTheme="majorHAnsi" w:cs="Times New Roman"/>
          <w:lang w:val="pt-BR"/>
        </w:rPr>
        <w:t>.</w:t>
      </w:r>
    </w:p>
    <w:p w14:paraId="72D3347F" w14:textId="77777777" w:rsid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C54CB5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C54CB5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54CB5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657EA98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54CB5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54CB5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54CB5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0C4A2A1F" w:rsidR="009C2FC9" w:rsidRPr="00035DCC" w:rsidRDefault="00B6448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5FAE2A0A" w:rsidR="00B0396E" w:rsidRDefault="00B0396E" w:rsidP="00B26BE0">
      <w:pPr>
        <w:rPr>
          <w:sz w:val="20"/>
          <w:szCs w:val="20"/>
          <w:lang w:val="pt-BR"/>
        </w:rPr>
      </w:pPr>
    </w:p>
    <w:p w14:paraId="378F9F5E" w14:textId="143E9D4A" w:rsidR="00B0396E" w:rsidRDefault="00B0396E">
      <w:pPr>
        <w:widowControl/>
        <w:rPr>
          <w:sz w:val="20"/>
          <w:szCs w:val="20"/>
          <w:lang w:val="pt-BR"/>
        </w:rPr>
      </w:pPr>
    </w:p>
    <w:sectPr w:rsidR="00B0396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F34B" w14:textId="77777777" w:rsidR="00E07BC5" w:rsidRDefault="00E07BC5">
      <w:r>
        <w:separator/>
      </w:r>
    </w:p>
  </w:endnote>
  <w:endnote w:type="continuationSeparator" w:id="0">
    <w:p w14:paraId="0C5C0895" w14:textId="77777777" w:rsidR="00E07BC5" w:rsidRDefault="00E0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0CE8" w14:textId="77777777" w:rsidR="00E07BC5" w:rsidRDefault="00E07BC5">
      <w:r>
        <w:separator/>
      </w:r>
    </w:p>
  </w:footnote>
  <w:footnote w:type="continuationSeparator" w:id="0">
    <w:p w14:paraId="58DDB39C" w14:textId="77777777" w:rsidR="00E07BC5" w:rsidRDefault="00E0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C01D8"/>
    <w:rsid w:val="001E1C07"/>
    <w:rsid w:val="001F4D90"/>
    <w:rsid w:val="00207B52"/>
    <w:rsid w:val="00212507"/>
    <w:rsid w:val="00216FDA"/>
    <w:rsid w:val="002429D1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C12B27"/>
    <w:rsid w:val="00C13373"/>
    <w:rsid w:val="00C13A87"/>
    <w:rsid w:val="00C22179"/>
    <w:rsid w:val="00C5259B"/>
    <w:rsid w:val="00C54CB5"/>
    <w:rsid w:val="00C6352D"/>
    <w:rsid w:val="00C636D3"/>
    <w:rsid w:val="00C73715"/>
    <w:rsid w:val="00C979E1"/>
    <w:rsid w:val="00CA7815"/>
    <w:rsid w:val="00CF2C23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52B6"/>
    <w:rsid w:val="00E57BE2"/>
    <w:rsid w:val="00E77647"/>
    <w:rsid w:val="00EC1861"/>
    <w:rsid w:val="00ED28C8"/>
    <w:rsid w:val="00EE57BA"/>
    <w:rsid w:val="00F00BA5"/>
    <w:rsid w:val="00F03D50"/>
    <w:rsid w:val="00F11990"/>
    <w:rsid w:val="00F11E8A"/>
    <w:rsid w:val="00F17FA6"/>
    <w:rsid w:val="00F35473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641D-4F7D-497B-82DC-394DE65B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1205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12</cp:revision>
  <cp:lastPrinted>2021-04-01T20:08:00Z</cp:lastPrinted>
  <dcterms:created xsi:type="dcterms:W3CDTF">2021-04-01T19:06:00Z</dcterms:created>
  <dcterms:modified xsi:type="dcterms:W3CDTF">2021-04-20T13:46:00Z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