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721F99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54AA04E3" w:rsidR="00D673DB" w:rsidRPr="008B36A9" w:rsidRDefault="00D673DB" w:rsidP="00721F99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</w:p>
        </w:tc>
      </w:tr>
      <w:tr w:rsidR="00D673DB" w:rsidRPr="00721F99" w14:paraId="698B0460" w14:textId="77777777" w:rsidTr="00FE0D34">
        <w:trPr>
          <w:trHeight w:val="64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F3EE7" w14:textId="77777777" w:rsidR="00D673DB" w:rsidRDefault="002A025C" w:rsidP="002A025C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2A025C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Setor de Registro e Atualização Cadastral Empresas 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(TEC-RG-EMP)</w:t>
            </w:r>
            <w:r w:rsidR="00FE0D34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</w:t>
            </w:r>
          </w:p>
          <w:p w14:paraId="4CA82472" w14:textId="155AEA68" w:rsidR="00FE0D34" w:rsidRPr="008B36A9" w:rsidRDefault="00FE0D34" w:rsidP="002A025C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Gerência Técnica e de Fiscalização; Presidência </w:t>
            </w:r>
          </w:p>
        </w:tc>
      </w:tr>
      <w:tr w:rsidR="00D673DB" w:rsidRPr="00721F99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706D1E33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3F41FD8B" w:rsidR="00D673DB" w:rsidRPr="008B36A9" w:rsidRDefault="00721F99" w:rsidP="00721F99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LIMITE DO NÚMERO DE EMPRESAS SOB RESPONSABILIDADE POR UM PROFISSIONAL</w:t>
            </w:r>
          </w:p>
        </w:tc>
      </w:tr>
      <w:tr w:rsidR="00D673DB" w:rsidRPr="00721F99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721F99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39DF4E25" w:rsidR="00D673DB" w:rsidRDefault="00D673DB" w:rsidP="000D056C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9A63A9">
              <w:rPr>
                <w:rFonts w:asciiTheme="majorHAnsi" w:hAnsiTheme="majorHAnsi" w:cs="Times New Roman"/>
                <w:b/>
                <w:lang w:val="pt-BR"/>
              </w:rPr>
              <w:t>5.</w:t>
            </w:r>
            <w:r w:rsidR="000D056C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68161D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0D056C">
              <w:rPr>
                <w:rFonts w:asciiTheme="majorHAnsi" w:hAnsiTheme="majorHAnsi" w:cs="Times New Roman"/>
                <w:b/>
                <w:lang w:val="pt-BR"/>
              </w:rPr>
              <w:t>7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4085B649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A77F9F" w:rsidRPr="00A77F9F">
        <w:rPr>
          <w:rFonts w:asciiTheme="majorHAnsi" w:hAnsiTheme="majorHAnsi" w:cs="Times New Roman"/>
          <w:lang w:val="pt-BR"/>
        </w:rPr>
        <w:t>19 de abril de 2021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A77F9F">
        <w:rPr>
          <w:rFonts w:asciiTheme="majorHAnsi" w:hAnsiTheme="majorHAnsi" w:cs="Times New Roman"/>
          <w:lang w:val="pt-BR"/>
        </w:rPr>
        <w:t>regimentais</w:t>
      </w:r>
      <w:r w:rsidRPr="008B36A9">
        <w:rPr>
          <w:rFonts w:asciiTheme="majorHAnsi" w:hAnsiTheme="majorHAnsi" w:cs="Times New Roman"/>
          <w:lang w:val="pt-BR"/>
        </w:rPr>
        <w:t>, 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24066E03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A77F9F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0CB49C8" w14:textId="357998D6" w:rsidR="00105EC1" w:rsidRPr="00105EC1" w:rsidRDefault="00105EC1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24110C28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4ED1BD6B" w14:textId="77777777" w:rsidR="00721F99" w:rsidRPr="00721F99" w:rsidRDefault="00721F99" w:rsidP="00721F99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721F99">
        <w:rPr>
          <w:rFonts w:asciiTheme="majorHAnsi" w:hAnsiTheme="majorHAnsi" w:cs="Times New Roman"/>
          <w:i/>
          <w:iCs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5A7F3EDC" w14:textId="77777777" w:rsidR="00721F99" w:rsidRDefault="00721F99" w:rsidP="00721F99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005D1AA7" w14:textId="0F697405" w:rsidR="00A77F9F" w:rsidRDefault="00721F99" w:rsidP="00721F99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721F99">
        <w:rPr>
          <w:rFonts w:asciiTheme="majorHAnsi" w:hAnsiTheme="majorHAnsi" w:cs="Times New Roman"/>
          <w:i/>
          <w:iCs/>
          <w:sz w:val="21"/>
          <w:szCs w:val="21"/>
          <w:lang w:val="pt-BR"/>
        </w:rPr>
        <w:t>c) requerimentos de registro de pessoas jurídicas;</w:t>
      </w:r>
    </w:p>
    <w:p w14:paraId="5B94AD3F" w14:textId="77777777" w:rsidR="00721F99" w:rsidRDefault="00721F99" w:rsidP="00721F9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C7F515A" w14:textId="54EA6E10" w:rsidR="00FE0D34" w:rsidRPr="008B36A9" w:rsidRDefault="00FE0D34" w:rsidP="00FE0D34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>
        <w:rPr>
          <w:rFonts w:asciiTheme="majorHAnsi" w:hAnsiTheme="majorHAnsi" w:cs="Times New Roman"/>
          <w:lang w:val="pt-BR"/>
        </w:rPr>
        <w:t xml:space="preserve">disposto na </w:t>
      </w:r>
      <w:r w:rsidRPr="00FE0D34">
        <w:rPr>
          <w:rFonts w:asciiTheme="majorHAnsi" w:hAnsiTheme="majorHAnsi" w:cs="Times New Roman"/>
          <w:lang w:val="pt-BR"/>
        </w:rPr>
        <w:t>Resolução</w:t>
      </w:r>
      <w:r>
        <w:rPr>
          <w:rFonts w:asciiTheme="majorHAnsi" w:hAnsiTheme="majorHAnsi" w:cs="Times New Roman"/>
          <w:lang w:val="pt-BR"/>
        </w:rPr>
        <w:t xml:space="preserve"> CAU/BR </w:t>
      </w:r>
      <w:r w:rsidRPr="00FE0D34">
        <w:rPr>
          <w:rFonts w:asciiTheme="majorHAnsi" w:hAnsiTheme="majorHAnsi" w:cs="Times New Roman"/>
          <w:lang w:val="pt-BR"/>
        </w:rPr>
        <w:t>28</w:t>
      </w:r>
      <w:r>
        <w:rPr>
          <w:rFonts w:asciiTheme="majorHAnsi" w:hAnsiTheme="majorHAnsi" w:cs="Times New Roman"/>
          <w:lang w:val="pt-BR"/>
        </w:rPr>
        <w:t>/</w:t>
      </w:r>
      <w:r w:rsidRPr="00FE0D34">
        <w:rPr>
          <w:rFonts w:asciiTheme="majorHAnsi" w:hAnsiTheme="majorHAnsi" w:cs="Times New Roman"/>
          <w:lang w:val="pt-BR"/>
        </w:rPr>
        <w:t xml:space="preserve"> 2012</w:t>
      </w:r>
      <w:r>
        <w:rPr>
          <w:rFonts w:asciiTheme="majorHAnsi" w:hAnsiTheme="majorHAnsi" w:cs="Times New Roman"/>
          <w:lang w:val="pt-BR"/>
        </w:rPr>
        <w:t>, que “d</w:t>
      </w:r>
      <w:r w:rsidRPr="00FE0D34">
        <w:rPr>
          <w:rFonts w:asciiTheme="majorHAnsi" w:hAnsiTheme="majorHAnsi" w:cs="Times New Roman"/>
          <w:lang w:val="pt-BR"/>
        </w:rPr>
        <w:t>ispõe sobre o registro e sobre a alteração e a baixa de registro de pessoa jurídica de Arquitetura e Urbanismo nos Conselhos de Arquitetura e Urbanismo dos Estados e do Distrito Federal e dá outras providências</w:t>
      </w:r>
      <w:r>
        <w:rPr>
          <w:rFonts w:asciiTheme="majorHAnsi" w:hAnsiTheme="majorHAnsi" w:cs="Times New Roman"/>
          <w:lang w:val="pt-BR"/>
        </w:rPr>
        <w:t>”.</w:t>
      </w:r>
    </w:p>
    <w:p w14:paraId="3B60F0DE" w14:textId="77777777" w:rsidR="00FE0D34" w:rsidRPr="008B36A9" w:rsidRDefault="00FE0D34" w:rsidP="00FE0D3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F31EC90" w14:textId="77777777" w:rsidR="00FE0D34" w:rsidRDefault="00FE0D34" w:rsidP="00FE0D3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E0D34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10. Para fins de registro no CAU, um arquiteto e urbanista pode, simultaneamente, exercer a responsabilidade técnica por, no máximo, 3 (três) pessoas jurídicas.</w:t>
      </w:r>
    </w:p>
    <w:p w14:paraId="594DDB12" w14:textId="0239C294" w:rsidR="00F4393F" w:rsidRDefault="00F4393F" w:rsidP="00FE0D3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7CEA5D90" w14:textId="021AB9B9" w:rsidR="00F4393F" w:rsidRDefault="00F4393F" w:rsidP="00FE0D3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4393F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17. A responsabilidade técnica que o arquiteto e urbanista assume por sociedade personificada de pessoas jurídicas será computada para fins de verificação do limite definido no art. 10 desta Resolução.</w:t>
      </w:r>
    </w:p>
    <w:p w14:paraId="565393D2" w14:textId="74A99ECD" w:rsidR="00F4393F" w:rsidRDefault="00F4393F" w:rsidP="00FE0D3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5B93FF14" w14:textId="77777777" w:rsidR="00F4393F" w:rsidRPr="00F4393F" w:rsidRDefault="00F4393F" w:rsidP="00F4393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4393F">
        <w:rPr>
          <w:rFonts w:asciiTheme="majorHAnsi" w:hAnsiTheme="majorHAnsi" w:cs="Times New Roman"/>
          <w:i/>
          <w:iCs/>
          <w:sz w:val="21"/>
          <w:szCs w:val="21"/>
          <w:lang w:val="pt-BR"/>
        </w:rPr>
        <w:t>Art. 18. O registro no CAU/UF de sociedade não personificada deverá ser requerido por meio do preenchimento de formulário próprio, disponível no SICCAU, ao qual deve ser anexado seu termo de constituição.</w:t>
      </w:r>
    </w:p>
    <w:p w14:paraId="2A3E10BD" w14:textId="57AD7702" w:rsidR="00F4393F" w:rsidRDefault="00F4393F" w:rsidP="00F4393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4393F">
        <w:rPr>
          <w:rFonts w:asciiTheme="majorHAnsi" w:hAnsiTheme="majorHAnsi" w:cs="Times New Roman"/>
          <w:i/>
          <w:iCs/>
          <w:sz w:val="21"/>
          <w:szCs w:val="21"/>
          <w:lang w:val="pt-BR"/>
        </w:rPr>
        <w:t>Parágrafo único. Serão válidos, para fins de responsabilidade técnica pela sociedade referida no caput deste artigo, para as atividades na área de Arquitetura e Urbanismo, os RRT de Cargo ou Função de responsabilidade técnica pelas pessoas jurídicas dela constituintes.</w:t>
      </w:r>
    </w:p>
    <w:p w14:paraId="157038A0" w14:textId="77777777" w:rsidR="00FE0D34" w:rsidRDefault="00FE0D34" w:rsidP="00FE0D3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</w:p>
    <w:p w14:paraId="658FCFF1" w14:textId="19E26DFE" w:rsidR="00FE0D34" w:rsidRDefault="00227309" w:rsidP="0022730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</w:t>
      </w:r>
      <w:r w:rsidR="00FE0D34">
        <w:rPr>
          <w:rFonts w:asciiTheme="majorHAnsi" w:hAnsiTheme="majorHAnsi" w:cs="Times New Roman"/>
          <w:lang w:val="pt-BR"/>
        </w:rPr>
        <w:t xml:space="preserve"> o questionamento oriundo do </w:t>
      </w:r>
      <w:r w:rsidR="00FE0D34" w:rsidRPr="00FE0D34">
        <w:rPr>
          <w:rFonts w:asciiTheme="majorHAnsi" w:hAnsiTheme="majorHAnsi" w:cs="Times New Roman"/>
          <w:lang w:val="pt-BR"/>
        </w:rPr>
        <w:t>Setor de Registro e Atualização Cadastral Empresas (TEC-RG-EMP)</w:t>
      </w:r>
      <w:r w:rsidR="00FE0D34">
        <w:rPr>
          <w:rFonts w:asciiTheme="majorHAnsi" w:hAnsiTheme="majorHAnsi" w:cs="Times New Roman"/>
          <w:lang w:val="pt-BR"/>
        </w:rPr>
        <w:t xml:space="preserve">, que, dentre suas análises, recebeu manifestação de requerente sobre </w:t>
      </w:r>
      <w:r w:rsidR="00F4393F">
        <w:rPr>
          <w:rFonts w:asciiTheme="majorHAnsi" w:hAnsiTheme="majorHAnsi" w:cs="Times New Roman"/>
          <w:lang w:val="pt-BR"/>
        </w:rPr>
        <w:t xml:space="preserve">a contagem do limite estabelecido no dispositivo supracitado para o registro de </w:t>
      </w:r>
      <w:r w:rsidR="00F4393F" w:rsidRPr="000D056C">
        <w:rPr>
          <w:rFonts w:asciiTheme="majorHAnsi" w:hAnsiTheme="majorHAnsi" w:cs="Times New Roman"/>
          <w:lang w:val="pt-BR"/>
        </w:rPr>
        <w:t>e Sociedades de Propósito Específico</w:t>
      </w:r>
    </w:p>
    <w:p w14:paraId="2EB4A0A9" w14:textId="77777777" w:rsidR="00FE0D34" w:rsidRDefault="00FE0D34" w:rsidP="0022730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F4CED2" w14:textId="04CDC1DB" w:rsidR="00FE0D34" w:rsidRDefault="00FE0D34" w:rsidP="0022730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que, mediante a </w:t>
      </w:r>
      <w:r w:rsidRPr="00FE0D34">
        <w:rPr>
          <w:rFonts w:asciiTheme="majorHAnsi" w:hAnsiTheme="majorHAnsi" w:cs="Times New Roman"/>
          <w:lang w:val="pt-BR"/>
        </w:rPr>
        <w:t xml:space="preserve">Deliberação </w:t>
      </w:r>
      <w:r w:rsidRPr="00FE0D34">
        <w:rPr>
          <w:rFonts w:asciiTheme="majorHAnsi" w:hAnsiTheme="majorHAnsi" w:cs="Times New Roman"/>
          <w:lang w:val="pt-BR"/>
        </w:rPr>
        <w:t>CEP</w:t>
      </w:r>
      <w:r w:rsidRPr="00FE0D34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166.4.3/2020</w:t>
      </w:r>
      <w:r w:rsidRPr="00FE0D34">
        <w:rPr>
          <w:rFonts w:asciiTheme="majorHAnsi" w:hAnsiTheme="majorHAnsi" w:cs="Times New Roman"/>
          <w:lang w:val="pt-BR"/>
        </w:rPr>
        <w:t xml:space="preserve">, </w:t>
      </w:r>
      <w:r>
        <w:rPr>
          <w:rFonts w:asciiTheme="majorHAnsi" w:hAnsiTheme="majorHAnsi" w:cs="Times New Roman"/>
          <w:lang w:val="pt-BR"/>
        </w:rPr>
        <w:t>o assunto foi objeto de análise contábil e jurídica pelas gerências internas do CAU/MG</w:t>
      </w:r>
      <w:r w:rsidR="00F4393F">
        <w:rPr>
          <w:rFonts w:asciiTheme="majorHAnsi" w:hAnsiTheme="majorHAnsi" w:cs="Times New Roman"/>
          <w:lang w:val="pt-BR"/>
        </w:rPr>
        <w:t>, já encaminhados a esta Comissão.</w:t>
      </w:r>
    </w:p>
    <w:p w14:paraId="6AAF2248" w14:textId="77777777" w:rsidR="00FE0D34" w:rsidRDefault="00FE0D34" w:rsidP="0022730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EC26FBF" w14:textId="64928F27" w:rsidR="00673CE2" w:rsidRDefault="00673CE2">
      <w:pPr>
        <w:widowControl/>
        <w:rPr>
          <w:rFonts w:asciiTheme="majorHAnsi" w:hAnsiTheme="majorHAnsi" w:cs="Times New Roman"/>
          <w:b/>
          <w:bCs/>
          <w:lang w:val="pt-BR"/>
        </w:rPr>
      </w:pPr>
    </w:p>
    <w:p w14:paraId="658AA588" w14:textId="77777777" w:rsidR="00F4393F" w:rsidRDefault="00F4393F">
      <w:pPr>
        <w:widowControl/>
        <w:rPr>
          <w:rFonts w:asciiTheme="majorHAnsi" w:hAnsiTheme="majorHAnsi" w:cs="Times New Roman"/>
          <w:b/>
          <w:bCs/>
          <w:lang w:val="pt-BR"/>
        </w:rPr>
      </w:pPr>
    </w:p>
    <w:p w14:paraId="12FD2E7F" w14:textId="77777777" w:rsidR="00F4393F" w:rsidRDefault="00F4393F">
      <w:pPr>
        <w:widowControl/>
        <w:rPr>
          <w:rFonts w:asciiTheme="majorHAnsi" w:hAnsiTheme="majorHAnsi" w:cs="Times New Roman"/>
          <w:b/>
          <w:bCs/>
          <w:lang w:val="pt-BR"/>
        </w:rPr>
      </w:pPr>
      <w:bookmarkStart w:id="0" w:name="_GoBack"/>
      <w:bookmarkEnd w:id="0"/>
    </w:p>
    <w:p w14:paraId="1D7771F9" w14:textId="77777777" w:rsidR="00FE0D34" w:rsidRDefault="00FE0D34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53C3EF5C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699E8322" w14:textId="77777777" w:rsidR="00FE0D34" w:rsidRDefault="00FE0D34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420E6ED4" w14:textId="3EBE9528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8CB18FD" w14:textId="0748C159" w:rsidR="000D056C" w:rsidRDefault="000D056C" w:rsidP="00FE0D34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O</w:t>
      </w:r>
      <w:r w:rsidRPr="000D056C">
        <w:rPr>
          <w:rFonts w:asciiTheme="majorHAnsi" w:hAnsiTheme="majorHAnsi" w:cs="Times New Roman"/>
          <w:lang w:val="pt-BR"/>
        </w:rPr>
        <w:t>rientar</w:t>
      </w:r>
      <w:r>
        <w:rPr>
          <w:rFonts w:asciiTheme="majorHAnsi" w:hAnsiTheme="majorHAnsi" w:cs="Times New Roman"/>
          <w:lang w:val="pt-BR"/>
        </w:rPr>
        <w:t xml:space="preserve"> o </w:t>
      </w:r>
      <w:r w:rsidRPr="000D056C">
        <w:rPr>
          <w:rFonts w:asciiTheme="majorHAnsi" w:hAnsiTheme="majorHAnsi" w:cs="Times New Roman"/>
          <w:lang w:val="pt-BR"/>
        </w:rPr>
        <w:t>Setor de Registro e Atualização Cadastral de Empresas</w:t>
      </w:r>
      <w:r>
        <w:rPr>
          <w:rFonts w:asciiTheme="majorHAnsi" w:hAnsiTheme="majorHAnsi" w:cs="Times New Roman"/>
          <w:lang w:val="pt-BR"/>
        </w:rPr>
        <w:t xml:space="preserve"> do CAU/MG que </w:t>
      </w:r>
      <w:r w:rsidR="00FE0D34">
        <w:rPr>
          <w:rFonts w:asciiTheme="majorHAnsi" w:hAnsiTheme="majorHAnsi" w:cs="Times New Roman"/>
          <w:lang w:val="pt-BR"/>
        </w:rPr>
        <w:t>a responsabilidade técnica por S</w:t>
      </w:r>
      <w:r w:rsidR="00FE0D34" w:rsidRPr="000D056C">
        <w:rPr>
          <w:rFonts w:asciiTheme="majorHAnsi" w:hAnsiTheme="majorHAnsi" w:cs="Times New Roman"/>
          <w:lang w:val="pt-BR"/>
        </w:rPr>
        <w:t>ociedades de Propósito Específico deve contar para o limite previsto no artigo 10 da Resolução CAU/BR 28/2012</w:t>
      </w:r>
      <w:r w:rsidR="00FE0D34">
        <w:rPr>
          <w:rFonts w:asciiTheme="majorHAnsi" w:hAnsiTheme="majorHAnsi" w:cs="Times New Roman"/>
          <w:lang w:val="pt-BR"/>
        </w:rPr>
        <w:t>, até que haja manifestação ulterior do CAU/BR;</w:t>
      </w:r>
    </w:p>
    <w:p w14:paraId="3A02664B" w14:textId="77777777" w:rsidR="00FE0D34" w:rsidRDefault="00FE0D34" w:rsidP="00FE0D34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08EE5368" w14:textId="750B07AC" w:rsidR="00FE0D34" w:rsidRDefault="00FE0D34" w:rsidP="00FE0D34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Solicitar à Presidência do CAU/MG que questione à Instância Federal desta Autarquia se os entendimentos utilizados em 2012 para formulação do normativo de registro em empresas supracitado ainda são válidos ou, caso careça de revisão, qual deve ser o entendimento adotado.</w:t>
      </w:r>
    </w:p>
    <w:p w14:paraId="771616C5" w14:textId="77777777" w:rsidR="000D056C" w:rsidRDefault="000D056C" w:rsidP="000D056C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3A981601" w14:textId="59C7F3DA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A20906">
        <w:rPr>
          <w:rFonts w:asciiTheme="majorHAnsi" w:hAnsiTheme="majorHAnsi" w:cs="Times New Roman"/>
          <w:lang w:val="pt-BR"/>
        </w:rPr>
        <w:t>19</w:t>
      </w:r>
      <w:r>
        <w:rPr>
          <w:rFonts w:asciiTheme="majorHAnsi" w:hAnsiTheme="majorHAnsi" w:cs="Times New Roman"/>
          <w:lang w:val="pt-BR"/>
        </w:rPr>
        <w:t xml:space="preserve"> de </w:t>
      </w:r>
      <w:r w:rsidR="00A20906">
        <w:rPr>
          <w:rFonts w:asciiTheme="majorHAnsi" w:hAnsiTheme="majorHAnsi" w:cs="Times New Roman"/>
          <w:lang w:val="pt-BR"/>
        </w:rPr>
        <w:t>abril</w:t>
      </w:r>
      <w:r>
        <w:rPr>
          <w:rFonts w:asciiTheme="majorHAnsi" w:hAnsiTheme="majorHAnsi" w:cs="Times New Roman"/>
          <w:lang w:val="pt-BR"/>
        </w:rPr>
        <w:t xml:space="preserve"> de 2021.</w:t>
      </w: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p w14:paraId="2445A544" w14:textId="77777777" w:rsidR="00673CE2" w:rsidRDefault="00673CE2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721F99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721F99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721F99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0B43D880" w:rsidR="009C2FC9" w:rsidRPr="00035DCC" w:rsidRDefault="00A20906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721F99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079B3BE6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721F99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7F99721D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721F99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2EEA9E21" w:rsidR="009C2FC9" w:rsidRPr="00035DCC" w:rsidRDefault="00053CE7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E197184" w14:textId="19EFE5C4" w:rsidR="00673CE2" w:rsidRPr="00673CE2" w:rsidRDefault="00673CE2" w:rsidP="00B26BE0">
      <w:pPr>
        <w:rPr>
          <w:sz w:val="2"/>
          <w:szCs w:val="2"/>
          <w:lang w:val="pt-BR"/>
        </w:rPr>
      </w:pPr>
    </w:p>
    <w:sectPr w:rsidR="00673CE2" w:rsidRPr="00673CE2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CD457" w14:textId="77777777" w:rsidR="000957A8" w:rsidRDefault="000957A8">
      <w:r>
        <w:separator/>
      </w:r>
    </w:p>
  </w:endnote>
  <w:endnote w:type="continuationSeparator" w:id="0">
    <w:p w14:paraId="7E2BB975" w14:textId="77777777" w:rsidR="000957A8" w:rsidRDefault="0009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28358" w14:textId="77777777" w:rsidR="000957A8" w:rsidRDefault="000957A8">
      <w:r>
        <w:separator/>
      </w:r>
    </w:p>
  </w:footnote>
  <w:footnote w:type="continuationSeparator" w:id="0">
    <w:p w14:paraId="04FFB798" w14:textId="77777777" w:rsidR="000957A8" w:rsidRDefault="0009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hybridMultilevel"/>
    <w:tmpl w:val="0AE07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4EDE"/>
    <w:rsid w:val="00035DCC"/>
    <w:rsid w:val="00042ECB"/>
    <w:rsid w:val="00053CE7"/>
    <w:rsid w:val="000957A8"/>
    <w:rsid w:val="000B24B8"/>
    <w:rsid w:val="000D056C"/>
    <w:rsid w:val="000D5801"/>
    <w:rsid w:val="000E60E2"/>
    <w:rsid w:val="000F056F"/>
    <w:rsid w:val="00105EC1"/>
    <w:rsid w:val="001104D7"/>
    <w:rsid w:val="001318DD"/>
    <w:rsid w:val="001618BE"/>
    <w:rsid w:val="0017578F"/>
    <w:rsid w:val="001A4779"/>
    <w:rsid w:val="001C01D8"/>
    <w:rsid w:val="001F4D90"/>
    <w:rsid w:val="00212507"/>
    <w:rsid w:val="00216FDA"/>
    <w:rsid w:val="00227309"/>
    <w:rsid w:val="002429D1"/>
    <w:rsid w:val="002A025C"/>
    <w:rsid w:val="002A57A5"/>
    <w:rsid w:val="002E570A"/>
    <w:rsid w:val="002E6385"/>
    <w:rsid w:val="002F7309"/>
    <w:rsid w:val="00330D38"/>
    <w:rsid w:val="00332118"/>
    <w:rsid w:val="003403DC"/>
    <w:rsid w:val="00347790"/>
    <w:rsid w:val="003526E8"/>
    <w:rsid w:val="003574F9"/>
    <w:rsid w:val="0037114A"/>
    <w:rsid w:val="003C1025"/>
    <w:rsid w:val="003D67E5"/>
    <w:rsid w:val="004019BC"/>
    <w:rsid w:val="00475E5D"/>
    <w:rsid w:val="00481423"/>
    <w:rsid w:val="00481F5D"/>
    <w:rsid w:val="004A5592"/>
    <w:rsid w:val="004A7741"/>
    <w:rsid w:val="004C4D47"/>
    <w:rsid w:val="005202A3"/>
    <w:rsid w:val="005C5290"/>
    <w:rsid w:val="0061502B"/>
    <w:rsid w:val="006232E4"/>
    <w:rsid w:val="00655AD6"/>
    <w:rsid w:val="0066517D"/>
    <w:rsid w:val="00673CE2"/>
    <w:rsid w:val="0068161D"/>
    <w:rsid w:val="00681633"/>
    <w:rsid w:val="00686D15"/>
    <w:rsid w:val="00692726"/>
    <w:rsid w:val="006B1141"/>
    <w:rsid w:val="006D28CA"/>
    <w:rsid w:val="006E6D2D"/>
    <w:rsid w:val="00720A3D"/>
    <w:rsid w:val="00721F99"/>
    <w:rsid w:val="00761C87"/>
    <w:rsid w:val="007958C6"/>
    <w:rsid w:val="007C5270"/>
    <w:rsid w:val="007E0B0E"/>
    <w:rsid w:val="007F1BD0"/>
    <w:rsid w:val="00821754"/>
    <w:rsid w:val="00845619"/>
    <w:rsid w:val="008724F5"/>
    <w:rsid w:val="008B36A9"/>
    <w:rsid w:val="008D6C47"/>
    <w:rsid w:val="009A39AA"/>
    <w:rsid w:val="009A63A9"/>
    <w:rsid w:val="009B3A08"/>
    <w:rsid w:val="009C1FAC"/>
    <w:rsid w:val="009C2FC9"/>
    <w:rsid w:val="009D124E"/>
    <w:rsid w:val="00A07397"/>
    <w:rsid w:val="00A20906"/>
    <w:rsid w:val="00A760FF"/>
    <w:rsid w:val="00A77F9F"/>
    <w:rsid w:val="00A83C91"/>
    <w:rsid w:val="00B26BE0"/>
    <w:rsid w:val="00B30203"/>
    <w:rsid w:val="00B44E9E"/>
    <w:rsid w:val="00BB7825"/>
    <w:rsid w:val="00C20B30"/>
    <w:rsid w:val="00C22179"/>
    <w:rsid w:val="00C5259B"/>
    <w:rsid w:val="00C6352D"/>
    <w:rsid w:val="00C73715"/>
    <w:rsid w:val="00CF2C23"/>
    <w:rsid w:val="00D07860"/>
    <w:rsid w:val="00D15B06"/>
    <w:rsid w:val="00D673DB"/>
    <w:rsid w:val="00DA7171"/>
    <w:rsid w:val="00DE447E"/>
    <w:rsid w:val="00E10D35"/>
    <w:rsid w:val="00E203D1"/>
    <w:rsid w:val="00E20A1C"/>
    <w:rsid w:val="00E32874"/>
    <w:rsid w:val="00E552B6"/>
    <w:rsid w:val="00F00BA5"/>
    <w:rsid w:val="00F11E8A"/>
    <w:rsid w:val="00F17FA6"/>
    <w:rsid w:val="00F4393F"/>
    <w:rsid w:val="00F96261"/>
    <w:rsid w:val="00FA7D4D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5E96-4CF2-4656-8E0C-D21EC908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19</cp:revision>
  <cp:lastPrinted>2017-05-11T17:11:00Z</cp:lastPrinted>
  <dcterms:created xsi:type="dcterms:W3CDTF">2021-02-18T18:01:00Z</dcterms:created>
  <dcterms:modified xsi:type="dcterms:W3CDTF">2021-06-07T19:28:00Z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