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41" w:rsidRDefault="00070141">
      <w:pPr>
        <w:rPr>
          <w:rFonts w:ascii="Times New Roman" w:hAnsi="Times New Roman" w:cs="Times New Roman"/>
          <w:color w:val="808080" w:themeColor="background1" w:themeShade="80"/>
        </w:rPr>
      </w:pPr>
    </w:p>
    <w:p w:rsidR="00070141" w:rsidRDefault="00070141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070141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SÚMULA DA 021ª REUNIÃO (EXTRAORDINÁRIA) DA COMISSÃO ESPECIAL DE PATRIMÔNIO CULTURAL DO CAU/MG [CPC-CAU/MG]</w:t>
            </w:r>
          </w:p>
        </w:tc>
      </w:tr>
      <w:tr w:rsidR="00070141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="00070141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de fevereiro de 2021</w:t>
            </w:r>
          </w:p>
        </w:tc>
      </w:tr>
      <w:tr w:rsidR="00070141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070141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9h30min às 12h00min</w:t>
            </w:r>
          </w:p>
        </w:tc>
      </w:tr>
      <w:tr w:rsidR="00070141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070141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SERGIO LUIZ BARRETO CAMPELLO CARDOSO AYRES</w:t>
            </w:r>
          </w:p>
        </w:tc>
        <w:tc>
          <w:tcPr>
            <w:tcW w:w="4395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Coordenador da CPC-CAU/MG</w:t>
            </w:r>
          </w:p>
        </w:tc>
      </w:tr>
      <w:tr w:rsidR="00070141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PARTICIPANTES:</w:t>
            </w:r>
          </w:p>
        </w:tc>
        <w:tc>
          <w:tcPr>
            <w:tcW w:w="3829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LUCIANA BRACARENSE COIMBRA VELOSO</w:t>
            </w:r>
          </w:p>
        </w:tc>
        <w:tc>
          <w:tcPr>
            <w:tcW w:w="4395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Coordenadora Adjunta da CPC-CAU/MG</w:t>
            </w:r>
          </w:p>
        </w:tc>
      </w:tr>
      <w:tr w:rsidR="00070141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070141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</w:p>
          <w:p w:rsidR="00B468AF" w:rsidRDefault="00B468A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(ausente)</w:t>
            </w:r>
          </w:p>
        </w:tc>
        <w:tc>
          <w:tcPr>
            <w:tcW w:w="4395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070141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MICHELA PERIGOLO REZENDE</w:t>
            </w:r>
          </w:p>
        </w:tc>
        <w:tc>
          <w:tcPr>
            <w:tcW w:w="4395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070141">
        <w:trPr>
          <w:trHeight w:val="330"/>
        </w:trPr>
        <w:tc>
          <w:tcPr>
            <w:tcW w:w="196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tcBorders>
              <w:top w:val="nil"/>
            </w:tcBorders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ANDRÉA LANNA MENDES NOVAIS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Arquiteta e Urbanista</w:t>
            </w:r>
          </w:p>
        </w:tc>
      </w:tr>
      <w:tr w:rsidR="00070141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:rsidR="00070141" w:rsidRDefault="00841B5D">
            <w:pPr>
              <w:suppressLineNumbers/>
              <w:jc w:val="both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SAMIRA DE ALMEIDA HOURI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Gerente Técnica e de Fiscalização</w:t>
            </w:r>
          </w:p>
        </w:tc>
      </w:tr>
      <w:tr w:rsidR="00070141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vAlign w:val="center"/>
          </w:tcPr>
          <w:p w:rsidR="00070141" w:rsidRDefault="0007014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0141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Verificação do quórum.</w:t>
            </w:r>
          </w:p>
          <w:p w:rsidR="00070141" w:rsidRDefault="00070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vAlign w:val="center"/>
          </w:tcPr>
          <w:p w:rsidR="00070141" w:rsidRDefault="00070141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0141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Comunicados</w:t>
            </w:r>
          </w:p>
          <w:p w:rsidR="00070141" w:rsidRDefault="00070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vAlign w:val="center"/>
          </w:tcPr>
          <w:p w:rsidR="00070141" w:rsidRDefault="00070141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0141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</w:rPr>
              <w:t>Elaboração de proposta de ação</w:t>
            </w:r>
            <w:r>
              <w:rPr>
                <w:rFonts w:ascii="Times New Roman" w:hAnsi="Times New Roman" w:cs="Times New Roman"/>
                <w:b/>
              </w:rPr>
              <w:t xml:space="preserve"> para atuação do CAU/MG em relação a atuação de Empresas no ICMS Cultural ausentes de Responsável Técnico arquiteto e urbanista. Demanda encaminhada ao CAU/MG por e-mail da arquiteta e urbanista do MPMG Andréa Lanna no dia 01/02/2021.</w:t>
            </w:r>
          </w:p>
          <w:p w:rsidR="00070141" w:rsidRDefault="00070141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vAlign w:val="center"/>
          </w:tcPr>
          <w:p w:rsidR="00070141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Encerramento.</w:t>
            </w:r>
          </w:p>
        </w:tc>
      </w:tr>
      <w:tr w:rsidR="00070141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70141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:rsidR="00070141" w:rsidRDefault="0007014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070141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070141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070141" w:rsidRDefault="00841B5D">
            <w:pPr>
              <w:pStyle w:val="Default"/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Foram apregoados os membros desta Comissão às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09h35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foi iniciada a reunião. A arquiteta e urbanista ANDRÉA LANNA MENDES NOVAIS participou da reunião como convidada, a partir d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as 10h30. </w:t>
            </w:r>
          </w:p>
        </w:tc>
      </w:tr>
    </w:tbl>
    <w:p w:rsidR="00070141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2.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070141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662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 Comunicados.</w:t>
            </w:r>
          </w:p>
        </w:tc>
      </w:tr>
      <w:tr w:rsidR="00070141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070141" w:rsidRDefault="00841B5D">
            <w:pPr>
              <w:pStyle w:val="Default"/>
              <w:widowControl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Não houve comunicados.</w:t>
            </w:r>
          </w:p>
        </w:tc>
      </w:tr>
    </w:tbl>
    <w:p w:rsidR="00070141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3.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070141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ITEM DE </w:t>
            </w:r>
            <w:r>
              <w:rPr>
                <w:rFonts w:ascii="Times New Roman" w:hAnsi="Times New Roman" w:cs="Times New Roman"/>
                <w:color w:val="000000" w:themeColor="text1"/>
              </w:rPr>
              <w:t>PAUTA</w:t>
            </w:r>
          </w:p>
        </w:tc>
        <w:tc>
          <w:tcPr>
            <w:tcW w:w="7662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 Elaboração de proposta de ação para atuação do CAU/MG em relação a atuação de Empresas no ICMS Cultural ausentes de Responsável Técnico arquiteto e urbanista. Demanda encaminhada ao CAU/MG por e-mail da arquiteta e urbanista do MPMG Andréa Lanna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 dia 01/02/2021.</w:t>
            </w:r>
          </w:p>
        </w:tc>
      </w:tr>
      <w:tr w:rsidR="00070141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070141" w:rsidRDefault="00841B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Deliberou-se pelo agendamento de reunião com a Promotoria de Patrimônio Cultural e Turítico do Ministério Público do Estado de Minas Gerais (MPMG), para tratativas sobre editais de contratação de ICMS Cultural pelos municípios, bem como sobre possível arti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culação com o Instituto Estadual do Patrimônio Histórico e Artístico de Minas Gerais (IEPHA) para realização de ações educativas nesse âmbito, além da realização de ação de fiscalização, em caráter de amostra, no sentido de verificar a prestação de serviço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 de Arquitetura e Urbanismo por profissionais habilitados nas contratações do ICMS Cultural, detalhados abaixo:</w:t>
            </w:r>
          </w:p>
          <w:p w:rsidR="00070141" w:rsidRDefault="000701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:rsidR="00070141" w:rsidRDefault="00841B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1 - Ações educativas com parceria entre CAU/MG, MPMG e IEPHA: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1.1 - Cartilha de orientação aos municípios para contratação de Consultorias 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ICMS Patrimônio Cultural;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1.2 - Cartilha de experimento para os Conselhos do Patrimônio Cultural da importância de profissionais qualificados nas atividades de proteção ao patrimônio cultural;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2 - Ações junto ao IEPHA e CONEP para garantir e incentivar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qualificação técnica adequada nas normativas de regência do ICMS Patrimônio Cultural: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2.1 - Pontuação para qualificação técnica do setor de cultura em graduações na área de patrimônio cultural, como Arquiteto e Urbanista, Historiador, Antropólogo, Sociól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ogo, Museólogo, entre outros;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 xml:space="preserve">2.2 - Pontuar como gastos do FUMPAC, a contratação de consultorias que preencham determinadas características, como por exemplo: que prestem serviços de consultoria técnica ao Conselho do Patrimônio Cultural com profissionais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habilitados. O gasto para pontuação poderia ser limitado a algum valor específico ou a determinada porcentagem do recurso vindo de Repasse do ICMS;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2.3 - Determinar no normativo quais profissionais devem estar presentes as atividades técnicas de Inventario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do patrimônio cultural, tombamento e laudo de estado de conservação no âmbito dos bens arquitetônicos, urbanísticos e paisagísticos;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>3 - Ações de fiscalização: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br/>
              <w:t xml:space="preserve">3.1 - As ações de fiscalização deverão ser estudadas e detalhadas pela CEP-CAU/MG,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>sendo 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viado para a CPC-CAU/MG as ações propostas pela CEP-CAU/MG.</w:t>
            </w:r>
          </w:p>
        </w:tc>
      </w:tr>
    </w:tbl>
    <w:p w:rsidR="00070141" w:rsidRDefault="00841B5D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4.</w:t>
      </w:r>
    </w:p>
    <w:p w:rsidR="00070141" w:rsidRDefault="00841B5D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Encerramento: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070141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4. Encerramento</w:t>
            </w:r>
          </w:p>
        </w:tc>
      </w:tr>
      <w:tr w:rsidR="00070141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0141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:rsidR="00070141" w:rsidRDefault="00841B5D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Coordenador SERGIO LUIZ BARRETO CAMPELLO CARDOSO AYRES encerrou a 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ª Reunião da Comissão Patrimônio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Cultural do CAU/MG 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Samira de Almeida Houri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Gerente Técnica e de Fiscalização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, lavrei esta Súmula.</w:t>
            </w:r>
          </w:p>
        </w:tc>
      </w:tr>
    </w:tbl>
    <w:p w:rsidR="00070141" w:rsidRDefault="0007014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LUIZ BARRETO CAMPELLO CARDOSO AYRES            ____________________________________</w:t>
      </w:r>
    </w:p>
    <w:p w:rsidR="00070141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Coordenador da CPC-CAU/MG</w:t>
      </w: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LUCIANA BRACARENSE COIMBRA VELOSO                               ____________________________________                              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Coordenadora adjunta da CPC-CAU/MG               </w:t>
      </w:r>
    </w:p>
    <w:p w:rsidR="00070141" w:rsidRDefault="00841B5D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ADEMIR NOGUEIRA DE AVILA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____________________________________ 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:rsidR="00070141" w:rsidRDefault="0007014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0141" w:rsidRDefault="00841B5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ILARA REBECA DURAN DE MELO                                                    _________________</w:t>
      </w:r>
      <w:r w:rsidR="00B468AF">
        <w:rPr>
          <w:rFonts w:ascii="Times New Roman" w:hAnsi="Times New Roman" w:cs="Times New Roman"/>
          <w:color w:val="000000" w:themeColor="text1"/>
        </w:rPr>
        <w:t>ausente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__________________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:rsidR="00070141" w:rsidRDefault="0007014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MICHELA PERIGOLO REZENDE                                                       ____________________________________                              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:rsidR="00070141" w:rsidRDefault="0007014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70141" w:rsidRDefault="00841B5D">
      <w:pPr>
        <w:jc w:val="both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SAMIRA DE ALMEI</w:t>
      </w:r>
      <w:r>
        <w:rPr>
          <w:rFonts w:ascii="Times New Roman" w:eastAsia="Calibri" w:hAnsi="Times New Roman" w:cs="Times New Roman"/>
          <w:color w:val="000000" w:themeColor="text1"/>
        </w:rPr>
        <w:t>DA HOURI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____________________________________</w:t>
      </w:r>
    </w:p>
    <w:p w:rsidR="00070141" w:rsidRDefault="00841B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Gerente Técnica e de Fiscalização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070141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5D" w:rsidRDefault="00841B5D">
      <w:r>
        <w:separator/>
      </w:r>
    </w:p>
  </w:endnote>
  <w:endnote w:type="continuationSeparator" w:id="0">
    <w:p w:rsidR="00841B5D" w:rsidRDefault="008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1" w:rsidRDefault="00841B5D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5D" w:rsidRDefault="00841B5D">
      <w:r>
        <w:separator/>
      </w:r>
    </w:p>
  </w:footnote>
  <w:footnote w:type="continuationSeparator" w:id="0">
    <w:p w:rsidR="00841B5D" w:rsidRDefault="0084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1" w:rsidRDefault="00841B5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6F6402D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070141" w:rsidRDefault="00841B5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 w:rsidR="00B468AF">
                                <w:rPr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468AF"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070141" w:rsidRDefault="00841B5D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402D6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70141" w:rsidRDefault="00841B5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 w:rsidR="00B468AF">
                          <w:rPr>
                            <w:noProof/>
                            <w:sz w:val="24"/>
                            <w:szCs w:val="44"/>
                          </w:rPr>
                          <w:t>1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 w:rsidR="00B468AF"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070141" w:rsidRDefault="00841B5D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6180" cy="807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141" w:rsidRDefault="000701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1"/>
    <w:rsid w:val="00070141"/>
    <w:rsid w:val="00841B5D"/>
    <w:rsid w:val="00B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007CEC"/>
  </w:style>
  <w:style w:type="character" w:customStyle="1" w:styleId="Ttulo4Char">
    <w:name w:val="Título 4 Char"/>
    <w:basedOn w:val="Fontepargpadro"/>
    <w:link w:val="Ttul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48C-8F47-4A4B-8B7C-D57E060B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815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Diogo U. Braga</cp:lastModifiedBy>
  <cp:revision>15</cp:revision>
  <cp:lastPrinted>2020-03-02T19:41:00Z</cp:lastPrinted>
  <dcterms:created xsi:type="dcterms:W3CDTF">2020-11-04T14:08:00Z</dcterms:created>
  <dcterms:modified xsi:type="dcterms:W3CDTF">2021-02-23T11:17:00Z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