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15CF808" w:rsidR="00BF3DE2" w:rsidRPr="00196462" w:rsidRDefault="00D842EA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143.3.4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BAB4F2" w:rsidR="00BF3DE2" w:rsidRPr="00230884" w:rsidRDefault="00BB6A31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CAU/BR</w:t>
            </w:r>
          </w:p>
        </w:tc>
      </w:tr>
      <w:tr w:rsidR="00BF3DE2" w:rsidRPr="0042334D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7E315" w14:textId="77777777" w:rsidR="00D842EA" w:rsidRPr="00D842EA" w:rsidRDefault="00D842EA" w:rsidP="00D842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842EA">
              <w:rPr>
                <w:rFonts w:ascii="Arial" w:hAnsi="Arial" w:cs="Arial"/>
                <w:sz w:val="20"/>
                <w:szCs w:val="20"/>
                <w:lang w:val="pt-BR"/>
              </w:rPr>
              <w:t>Análise sobre Processo de inclusão de título complementar de “Engenheiro (a) de Segurança do Trabalho (Especialização)”, Protocolo SICCAU nº 1121078/2020, para averiguações acerca do atendimento aos normativos vigentes no âmbito do CAU;</w:t>
            </w:r>
          </w:p>
          <w:p w14:paraId="1D6FB82F" w14:textId="0B3CD86F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42334D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2334D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3C0B2782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D842EA">
              <w:rPr>
                <w:rFonts w:ascii="Arial" w:hAnsi="Arial" w:cs="Arial"/>
                <w:b/>
                <w:sz w:val="20"/>
                <w:szCs w:val="20"/>
                <w:lang w:val="pt-BR"/>
              </w:rPr>
              <w:t>143.3.4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03262A55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DD53DF">
        <w:rPr>
          <w:rFonts w:ascii="Arial" w:hAnsi="Arial" w:cs="Arial"/>
          <w:sz w:val="20"/>
          <w:szCs w:val="20"/>
          <w:lang w:val="pt-BR"/>
        </w:rPr>
        <w:t xml:space="preserve"> </w:t>
      </w:r>
      <w:r w:rsidR="00D842EA">
        <w:rPr>
          <w:rFonts w:ascii="Arial" w:hAnsi="Arial" w:cs="Arial"/>
          <w:sz w:val="20"/>
          <w:szCs w:val="20"/>
          <w:lang w:val="pt-BR"/>
        </w:rPr>
        <w:t>22 de fevereiro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5743631E" w:rsidR="00BE382F" w:rsidRDefault="0024595F" w:rsidP="00D66F4F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0B3F86DD" w14:textId="77777777" w:rsidR="00D842EA" w:rsidRDefault="00D842EA" w:rsidP="00D842EA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1F258ADA" w14:textId="77777777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7E4C9A5E" w14:textId="67BAF20C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Pr="00BB4EA5">
        <w:rPr>
          <w:rFonts w:ascii="Arial" w:hAnsi="Arial" w:cs="Arial"/>
          <w:sz w:val="20"/>
          <w:szCs w:val="20"/>
          <w:lang w:val="pt-BR"/>
        </w:rPr>
        <w:t xml:space="preserve"> Deliberação DCEF-CAU/BR nº 017/2020</w:t>
      </w:r>
      <w:r>
        <w:rPr>
          <w:rFonts w:ascii="Arial" w:hAnsi="Arial" w:cs="Arial"/>
          <w:sz w:val="20"/>
          <w:szCs w:val="20"/>
          <w:lang w:val="pt-BR"/>
        </w:rPr>
        <w:t>, que d</w:t>
      </w:r>
      <w:r w:rsidRPr="00BB4EA5">
        <w:rPr>
          <w:rFonts w:ascii="Arial" w:hAnsi="Arial" w:cs="Arial"/>
          <w:sz w:val="20"/>
          <w:szCs w:val="20"/>
          <w:lang w:val="pt-BR"/>
        </w:rPr>
        <w:t>ispõe sobre os normativos vigentes para deferimento de requerimento de registro de título complementar de Engenheiro(a) de Segurança do Trabalho (Especialização) submetido à apreciação do CAU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09E49AFE" w14:textId="66680B84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842EA">
        <w:rPr>
          <w:rFonts w:ascii="Arial" w:hAnsi="Arial" w:cs="Arial"/>
          <w:sz w:val="20"/>
          <w:szCs w:val="20"/>
          <w:lang w:val="pt-BR"/>
        </w:rPr>
        <w:t>Processo de inclusão de título complementar de “Engenheiro (a) de Segurança do Trabalho (Especialização)”, cadastrada pela requerente ÚRSULA DOS SANTOS FRAGOSO junto ao CAU/MG, por meio do Protocolo SICCAU n. 1121078/2020</w:t>
      </w:r>
      <w:r>
        <w:rPr>
          <w:rFonts w:ascii="Arial" w:hAnsi="Arial" w:cs="Arial"/>
          <w:sz w:val="20"/>
          <w:szCs w:val="20"/>
          <w:lang w:val="pt-BR"/>
        </w:rPr>
        <w:t xml:space="preserve">, deferido pela CEF-CAU/MG por meio da </w:t>
      </w:r>
      <w:r w:rsidRPr="00D842EA">
        <w:rPr>
          <w:rFonts w:ascii="Arial" w:hAnsi="Arial" w:cs="Arial"/>
          <w:sz w:val="20"/>
          <w:szCs w:val="20"/>
          <w:lang w:val="pt-BR"/>
        </w:rPr>
        <w:t>Deliberação DCEF-CAU/MG n. 137.3.2/2020, de 25 de agosto de 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4E2F0C36" w14:textId="5D979066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Processo de inclusão de título complementar de “Engenheiro (a) de Segurança do Trabalho (Especialização)”, cadastrada pela requerente ÚRSULA DOS SANTOS FRAGOSO junto ao CAU/MG, por meio do Protocolo SICCAU n. </w:t>
      </w:r>
      <w:r>
        <w:rPr>
          <w:rFonts w:ascii="Arial" w:hAnsi="Arial" w:cs="Arial"/>
          <w:sz w:val="20"/>
          <w:szCs w:val="20"/>
          <w:lang w:val="pt-BR"/>
        </w:rPr>
        <w:t>901301</w:t>
      </w:r>
      <w:r w:rsidRPr="00D842EA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 xml:space="preserve">19, indeferido pela CEF-CAU/SP por meio da </w:t>
      </w:r>
      <w:r w:rsidRPr="00D842EA">
        <w:rPr>
          <w:rFonts w:ascii="Arial" w:hAnsi="Arial" w:cs="Arial"/>
          <w:sz w:val="20"/>
          <w:szCs w:val="20"/>
          <w:lang w:val="pt-BR"/>
        </w:rPr>
        <w:t>Deliberação DCEF-CAU/</w:t>
      </w:r>
      <w:r>
        <w:rPr>
          <w:rFonts w:ascii="Arial" w:hAnsi="Arial" w:cs="Arial"/>
          <w:sz w:val="20"/>
          <w:szCs w:val="20"/>
          <w:lang w:val="pt-BR"/>
        </w:rPr>
        <w:t>SP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n. </w:t>
      </w:r>
      <w:r>
        <w:rPr>
          <w:rFonts w:ascii="Arial" w:hAnsi="Arial" w:cs="Arial"/>
          <w:sz w:val="20"/>
          <w:szCs w:val="20"/>
          <w:lang w:val="pt-BR"/>
        </w:rPr>
        <w:t>313</w:t>
      </w:r>
      <w:r w:rsidRPr="00D842EA">
        <w:rPr>
          <w:rFonts w:ascii="Arial" w:hAnsi="Arial" w:cs="Arial"/>
          <w:sz w:val="20"/>
          <w:szCs w:val="20"/>
          <w:lang w:val="pt-BR"/>
        </w:rPr>
        <w:t>/2020, de 2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dezembro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de 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44EA34C" w14:textId="14A719C6" w:rsidR="00D842EA" w:rsidRDefault="00D842EA" w:rsidP="00D842EA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Parecer Técnico 01/2021 – CEF-CAU/MG, elaborado pela Assessoria Técnica da CEF-CAU/MG</w:t>
      </w:r>
      <w:r w:rsidR="00BD7356">
        <w:rPr>
          <w:rFonts w:ascii="Arial" w:hAnsi="Arial" w:cs="Arial"/>
          <w:sz w:val="20"/>
          <w:szCs w:val="20"/>
          <w:lang w:val="pt-BR"/>
        </w:rPr>
        <w:t xml:space="preserve"> e anexo à presente Deliberação</w:t>
      </w:r>
      <w:r>
        <w:rPr>
          <w:rFonts w:ascii="Arial" w:hAnsi="Arial" w:cs="Arial"/>
          <w:sz w:val="20"/>
          <w:szCs w:val="20"/>
          <w:lang w:val="pt-BR"/>
        </w:rPr>
        <w:t xml:space="preserve">, que analisa as diferenças de entendimento entre as deliberações </w:t>
      </w:r>
      <w:r w:rsidRPr="00D842EA">
        <w:rPr>
          <w:rFonts w:ascii="Arial" w:hAnsi="Arial" w:cs="Arial"/>
          <w:sz w:val="20"/>
          <w:szCs w:val="20"/>
          <w:lang w:val="pt-BR"/>
        </w:rPr>
        <w:t>DCEF-CAU/MG n. 137.3.2/2020</w:t>
      </w:r>
      <w:r>
        <w:rPr>
          <w:rFonts w:ascii="Arial" w:hAnsi="Arial" w:cs="Arial"/>
          <w:sz w:val="20"/>
          <w:szCs w:val="20"/>
          <w:lang w:val="pt-BR"/>
        </w:rPr>
        <w:t xml:space="preserve"> e </w:t>
      </w:r>
      <w:r w:rsidRPr="00D842EA">
        <w:rPr>
          <w:rFonts w:ascii="Arial" w:hAnsi="Arial" w:cs="Arial"/>
          <w:sz w:val="20"/>
          <w:szCs w:val="20"/>
          <w:lang w:val="pt-BR"/>
        </w:rPr>
        <w:t>DCEF-CAU/</w:t>
      </w:r>
      <w:r>
        <w:rPr>
          <w:rFonts w:ascii="Arial" w:hAnsi="Arial" w:cs="Arial"/>
          <w:sz w:val="20"/>
          <w:szCs w:val="20"/>
          <w:lang w:val="pt-BR"/>
        </w:rPr>
        <w:t>SP</w:t>
      </w:r>
      <w:r w:rsidRPr="00D842EA">
        <w:rPr>
          <w:rFonts w:ascii="Arial" w:hAnsi="Arial" w:cs="Arial"/>
          <w:sz w:val="20"/>
          <w:szCs w:val="20"/>
          <w:lang w:val="pt-BR"/>
        </w:rPr>
        <w:t xml:space="preserve"> n. </w:t>
      </w:r>
      <w:r>
        <w:rPr>
          <w:rFonts w:ascii="Arial" w:hAnsi="Arial" w:cs="Arial"/>
          <w:sz w:val="20"/>
          <w:szCs w:val="20"/>
          <w:lang w:val="pt-BR"/>
        </w:rPr>
        <w:t>313</w:t>
      </w:r>
      <w:r w:rsidRPr="00D842EA">
        <w:rPr>
          <w:rFonts w:ascii="Arial" w:hAnsi="Arial" w:cs="Arial"/>
          <w:sz w:val="20"/>
          <w:szCs w:val="20"/>
          <w:lang w:val="pt-BR"/>
        </w:rPr>
        <w:t>/2020</w:t>
      </w:r>
      <w:r>
        <w:rPr>
          <w:rFonts w:ascii="Arial" w:hAnsi="Arial" w:cs="Arial"/>
          <w:sz w:val="20"/>
          <w:szCs w:val="20"/>
          <w:lang w:val="pt-BR"/>
        </w:rPr>
        <w:t xml:space="preserve">, e aponta para a existência de </w:t>
      </w:r>
      <w:r w:rsidRPr="00D842EA">
        <w:rPr>
          <w:rFonts w:ascii="Arial" w:hAnsi="Arial" w:cs="Arial"/>
          <w:sz w:val="20"/>
          <w:szCs w:val="20"/>
          <w:lang w:val="pt-BR"/>
        </w:rPr>
        <w:t>controvérsia jurídica acerca da validade legal da Resolução CNE/CES nº 01 de 08/06/2007, bem como da Resolução CNE/CES nº 01, de 06/04/2018</w:t>
      </w:r>
      <w:r w:rsidR="00BB6A31">
        <w:rPr>
          <w:rFonts w:ascii="Arial" w:hAnsi="Arial" w:cs="Arial"/>
          <w:sz w:val="20"/>
          <w:szCs w:val="20"/>
          <w:lang w:val="pt-BR"/>
        </w:rPr>
        <w:t>, e recomenda:</w:t>
      </w:r>
    </w:p>
    <w:p w14:paraId="504861B4" w14:textId="1594C2A4" w:rsidR="00BB6A31" w:rsidRPr="00BB6A31" w:rsidRDefault="00BB6A31" w:rsidP="00BB6A31">
      <w:pPr>
        <w:suppressLineNumbers/>
        <w:spacing w:before="120" w:after="120" w:line="276" w:lineRule="auto"/>
        <w:ind w:left="851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BB6A31">
        <w:rPr>
          <w:rFonts w:ascii="Arial" w:hAnsi="Arial" w:cs="Arial"/>
          <w:i/>
          <w:iCs/>
          <w:sz w:val="20"/>
          <w:szCs w:val="20"/>
          <w:lang w:val="pt-BR"/>
        </w:rPr>
        <w:t xml:space="preserve">“(...) o entendimento da Assessoria Técnica da CEF-CAU/MG é no sentido de que não haveria </w:t>
      </w:r>
      <w:r w:rsidRPr="00BB6A31">
        <w:rPr>
          <w:rFonts w:ascii="Arial" w:hAnsi="Arial" w:cs="Arial"/>
          <w:i/>
          <w:iCs/>
          <w:sz w:val="20"/>
          <w:szCs w:val="20"/>
          <w:lang w:val="pt-BR"/>
        </w:rPr>
        <w:lastRenderedPageBreak/>
        <w:t>elementos conclusivos, por ora, para provocar um processo de anulação do registro de título complementar da requerente. Especialmente considerando a demanda judicial em curso, cujo objeto versa sobre os mesmos fatos ora analisados, e na qual o CAU/BR integra o polo passivo, seria temerário encetar novas discussões no âmbito do processo de inclusão de título complementar que correu junto ao CAU/MG. Desse modo, tendo em vista a existência de controvérsias acerca da validade das normas que permeiam o tema, e que cabe à CEF-CAU/BR uniformizar a compreensão sobre as matérias referentes a ensino e formação, sugere-se o encaminhamento do feito ao CAU/BR para conhecimento, orientações e adoção das providências que se fizerem necessárias”.</w:t>
      </w:r>
    </w:p>
    <w:p w14:paraId="125B19E1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31764827" w14:textId="3B873D7E" w:rsidR="00BF3DE2" w:rsidRDefault="00DD53DF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 w:rsidRPr="00DD53DF">
        <w:rPr>
          <w:rFonts w:ascii="Arial" w:hAnsi="Arial" w:cs="Arial"/>
          <w:sz w:val="20"/>
          <w:szCs w:val="20"/>
          <w:lang w:val="pt-BR"/>
        </w:rPr>
        <w:t>En</w:t>
      </w:r>
      <w:r w:rsidR="00BB6A31">
        <w:rPr>
          <w:rFonts w:ascii="Arial" w:hAnsi="Arial" w:cs="Arial"/>
          <w:sz w:val="20"/>
          <w:szCs w:val="20"/>
          <w:lang w:val="pt-BR"/>
        </w:rPr>
        <w:t>caminhar</w:t>
      </w:r>
      <w:r w:rsidRPr="00DD53DF">
        <w:rPr>
          <w:rFonts w:ascii="Arial" w:hAnsi="Arial" w:cs="Arial"/>
          <w:sz w:val="20"/>
          <w:szCs w:val="20"/>
          <w:lang w:val="pt-BR"/>
        </w:rPr>
        <w:t xml:space="preserve"> </w:t>
      </w:r>
      <w:r w:rsidR="00BB6A31">
        <w:rPr>
          <w:rFonts w:ascii="Arial" w:hAnsi="Arial" w:cs="Arial"/>
          <w:sz w:val="20"/>
          <w:szCs w:val="20"/>
          <w:lang w:val="pt-BR"/>
        </w:rPr>
        <w:t xml:space="preserve">a presente Deliberação à CEF-CAU/BR, </w:t>
      </w:r>
      <w:r w:rsidR="00E17A00" w:rsidRPr="00E17A00">
        <w:rPr>
          <w:rFonts w:ascii="Arial" w:hAnsi="Arial" w:cs="Arial"/>
          <w:sz w:val="20"/>
          <w:szCs w:val="20"/>
          <w:lang w:val="pt-BR"/>
        </w:rPr>
        <w:t>para conhecimento, orientações e adoção das providências que se fizerem necessárias</w:t>
      </w:r>
      <w:r w:rsidR="00BB6A31">
        <w:rPr>
          <w:rFonts w:ascii="Arial" w:hAnsi="Arial" w:cs="Arial"/>
          <w:sz w:val="20"/>
          <w:szCs w:val="20"/>
          <w:lang w:val="pt-BR"/>
        </w:rPr>
        <w:t xml:space="preserve"> </w:t>
      </w:r>
      <w:r w:rsidR="00E17A00">
        <w:rPr>
          <w:rFonts w:ascii="Arial" w:hAnsi="Arial" w:cs="Arial"/>
          <w:sz w:val="20"/>
          <w:szCs w:val="20"/>
          <w:lang w:val="pt-BR"/>
        </w:rPr>
        <w:t xml:space="preserve">quanto </w:t>
      </w:r>
      <w:r w:rsidR="00BB6A31">
        <w:rPr>
          <w:rFonts w:ascii="Arial" w:hAnsi="Arial" w:cs="Arial"/>
          <w:sz w:val="20"/>
          <w:szCs w:val="20"/>
          <w:lang w:val="pt-BR"/>
        </w:rPr>
        <w:t xml:space="preserve">ao </w:t>
      </w:r>
      <w:r w:rsidR="00BB6A31" w:rsidRPr="00BB6A31">
        <w:rPr>
          <w:rFonts w:ascii="Arial" w:hAnsi="Arial" w:cs="Arial"/>
          <w:sz w:val="20"/>
          <w:szCs w:val="20"/>
          <w:lang w:val="pt-BR"/>
        </w:rPr>
        <w:t>Processo de inclusão de título complementar de “Engenheiro (a) de Segurança do Trabalho (Especialização)”, requer</w:t>
      </w:r>
      <w:r w:rsidR="00E17A00">
        <w:rPr>
          <w:rFonts w:ascii="Arial" w:hAnsi="Arial" w:cs="Arial"/>
          <w:sz w:val="20"/>
          <w:szCs w:val="20"/>
          <w:lang w:val="pt-BR"/>
        </w:rPr>
        <w:t>ido por</w:t>
      </w:r>
      <w:r w:rsidR="00BB6A31" w:rsidRPr="00BB6A31">
        <w:rPr>
          <w:rFonts w:ascii="Arial" w:hAnsi="Arial" w:cs="Arial"/>
          <w:sz w:val="20"/>
          <w:szCs w:val="20"/>
          <w:lang w:val="pt-BR"/>
        </w:rPr>
        <w:t xml:space="preserve"> ÚRSULA DOS SANTOS FRAGOSO junto ao CAU/MG, por meio do Protocolo SICCAU n. 1121078/2020.</w:t>
      </w:r>
    </w:p>
    <w:p w14:paraId="3FD5B5D8" w14:textId="6D721408" w:rsidR="00BB6A31" w:rsidRPr="00BB6A31" w:rsidRDefault="00BB6A31" w:rsidP="002957D9">
      <w:pPr>
        <w:pStyle w:val="PargrafodaLista"/>
        <w:numPr>
          <w:ilvl w:val="0"/>
          <w:numId w:val="25"/>
        </w:numPr>
        <w:spacing w:line="300" w:lineRule="auto"/>
        <w:ind w:left="426" w:hanging="426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Proceder com a remessa desta Deliberação à Presidência do CAU/MG, para conhecimento e </w:t>
      </w:r>
      <w:r w:rsidR="00E17A00">
        <w:rPr>
          <w:rFonts w:ascii="Arial" w:hAnsi="Arial" w:cs="Arial"/>
          <w:sz w:val="20"/>
          <w:szCs w:val="20"/>
          <w:lang w:val="pt-BR"/>
        </w:rPr>
        <w:t>encaminhamentos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B5C4E18" w14:textId="77777777" w:rsidR="00BD7AF3" w:rsidRPr="00BD7AF3" w:rsidRDefault="00BD7AF3" w:rsidP="00BD7AF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D7AF3" w:rsidRPr="0042334D" w14:paraId="071331CB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359BB852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-CAU/MG n° </w:t>
            </w:r>
            <w:r w:rsid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143.3.4</w:t>
            </w:r>
            <w:r w:rsidRPr="00D842EA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</w:t>
            </w:r>
            <w:r w:rsidRPr="00283805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2021</w:t>
            </w:r>
          </w:p>
        </w:tc>
      </w:tr>
      <w:tr w:rsidR="00BD7AF3" w:rsidRPr="002A75C6" w14:paraId="73A0C6D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69F451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CE8A6A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D7AF3" w:rsidRPr="002A75C6" w14:paraId="2746AEB8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369C" w14:textId="77777777" w:rsidR="00BD7AF3" w:rsidRPr="002A75C6" w:rsidRDefault="00BD7AF3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53F41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C7BBBF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7A5A5D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E982AA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BD7AF3" w:rsidRPr="002A75C6" w14:paraId="7A78AC49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7F17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82AD" w14:textId="28EF0002" w:rsidR="00BD7AF3" w:rsidRPr="00BD7AF3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B013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50B4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EC4C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F075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91F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D7AF3" w:rsidRPr="002A75C6" w14:paraId="49B5518D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5A85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464F" w14:textId="25DE9181" w:rsidR="00BD7AF3" w:rsidRPr="00BD7AF3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663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4FBB3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D8F3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8A5D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F272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BF0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7AF3" w:rsidRPr="002A75C6" w14:paraId="3D79FF3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63AE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AD717" w14:textId="1D8D193D" w:rsidR="00BD7AF3" w:rsidRPr="002A75C6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A4EC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CA500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A4C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447B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E28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DBA1860" w14:textId="77777777" w:rsidR="00BD7AF3" w:rsidRPr="00BD7AF3" w:rsidRDefault="00BD7AF3" w:rsidP="00BD7AF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1BE9B828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 w:rsidR="00626638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>Suplente)</w:t>
      </w: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5FCE1F17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2957D9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      _____________________________________</w:t>
      </w:r>
    </w:p>
    <w:p w14:paraId="7CBCCFD0" w14:textId="370A404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460ACBA1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>M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 xml:space="preserve">embro </w:t>
      </w:r>
      <w:r w:rsidR="002957D9">
        <w:rPr>
          <w:rFonts w:ascii="Arial" w:hAnsi="Arial" w:cs="Arial"/>
          <w:sz w:val="16"/>
          <w:szCs w:val="16"/>
          <w:lang w:val="pt-BR" w:eastAsia="pt-BR"/>
        </w:rPr>
        <w:t>T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  </w:t>
      </w:r>
      <w:r w:rsidR="00283805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4B882628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</w:p>
    <w:p w14:paraId="460D1B41" w14:textId="7FDB5CEF" w:rsidR="00BD7AF3" w:rsidRDefault="00BD7AF3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227B7EE" w14:textId="77777777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277F6E8B" w14:textId="5EC09E0A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36FDD333" w14:textId="77777777" w:rsidR="002957D9" w:rsidRPr="00BB6A31" w:rsidRDefault="002957D9" w:rsidP="002957D9">
      <w:pPr>
        <w:spacing w:line="300" w:lineRule="auto"/>
        <w:jc w:val="both"/>
        <w:rPr>
          <w:rFonts w:ascii="Arial" w:hAnsi="Arial" w:cs="Arial"/>
          <w:sz w:val="16"/>
          <w:szCs w:val="16"/>
          <w:lang w:val="pt-BR" w:eastAsia="pt-BR"/>
        </w:rPr>
      </w:pPr>
      <w:r w:rsidRPr="00BB6A31">
        <w:rPr>
          <w:rFonts w:ascii="Arial" w:hAnsi="Arial" w:cs="Arial"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9C0C0A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2E7AA3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F3E2797" w14:textId="77777777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81A8B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316A29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5C29B43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5CB103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34310B63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588EAB48" w14:textId="744DCC95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p w14:paraId="67AE71C1" w14:textId="2A4EDC3F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p w14:paraId="3E0E7A74" w14:textId="7915E89D" w:rsidR="00A5429D" w:rsidRPr="00A5429D" w:rsidRDefault="00A5429D" w:rsidP="00A5429D">
      <w:pPr>
        <w:suppressLineNumbers/>
        <w:spacing w:line="276" w:lineRule="auto"/>
        <w:jc w:val="center"/>
        <w:rPr>
          <w:rFonts w:ascii="Cambria" w:eastAsia="MS Mincho" w:hAnsi="Cambria" w:cs="Times New Roman"/>
          <w:b/>
          <w:caps/>
          <w:sz w:val="28"/>
          <w:lang w:val="pt-BR"/>
        </w:rPr>
      </w:pPr>
      <w:r w:rsidRPr="00A5429D">
        <w:rPr>
          <w:rFonts w:ascii="Arial" w:eastAsia="Times New Roman" w:hAnsi="Arial" w:cs="Arial"/>
          <w:b/>
          <w:bCs/>
          <w:color w:val="000000"/>
          <w:lang w:val="pt-BR" w:eastAsia="pt-BR"/>
        </w:rPr>
        <w:t>Anexo –</w:t>
      </w:r>
      <w:r>
        <w:rPr>
          <w:b/>
          <w:caps/>
          <w:sz w:val="28"/>
          <w:lang w:val="pt-BR"/>
        </w:rPr>
        <w:t xml:space="preserve"> </w:t>
      </w:r>
      <w:r w:rsidRPr="00BD7AF3">
        <w:rPr>
          <w:rFonts w:ascii="Arial" w:eastAsia="Times New Roman" w:hAnsi="Arial" w:cs="Arial"/>
          <w:b/>
          <w:bCs/>
          <w:color w:val="000000"/>
          <w:lang w:val="pt-BR" w:eastAsia="pt-BR"/>
        </w:rPr>
        <w:t>DC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EF</w:t>
      </w:r>
      <w:r w:rsidRPr="00BD7AF3">
        <w:rPr>
          <w:rFonts w:ascii="Arial" w:eastAsia="Times New Roman" w:hAnsi="Arial" w:cs="Arial"/>
          <w:b/>
          <w:bCs/>
          <w:color w:val="000000"/>
          <w:lang w:val="pt-BR" w:eastAsia="pt-BR"/>
        </w:rPr>
        <w:t xml:space="preserve">-CAU/MG n° </w:t>
      </w:r>
      <w:r>
        <w:rPr>
          <w:rFonts w:ascii="Arial" w:eastAsia="Times New Roman" w:hAnsi="Arial" w:cs="Arial"/>
          <w:b/>
          <w:bCs/>
          <w:color w:val="000000"/>
          <w:lang w:val="pt-BR" w:eastAsia="pt-BR"/>
        </w:rPr>
        <w:t>143.3.4</w:t>
      </w:r>
      <w:r w:rsidRPr="00D842EA">
        <w:rPr>
          <w:rFonts w:ascii="Arial" w:eastAsia="Times New Roman" w:hAnsi="Arial" w:cs="Arial"/>
          <w:b/>
          <w:bCs/>
          <w:color w:val="000000"/>
          <w:lang w:val="pt-BR" w:eastAsia="pt-BR"/>
        </w:rPr>
        <w:t>/</w:t>
      </w:r>
      <w:r w:rsidRPr="00283805">
        <w:rPr>
          <w:rFonts w:ascii="Arial" w:eastAsia="Times New Roman" w:hAnsi="Arial" w:cs="Arial"/>
          <w:b/>
          <w:bCs/>
          <w:color w:val="000000"/>
          <w:lang w:val="pt-BR" w:eastAsia="pt-BR"/>
        </w:rPr>
        <w:t>2021</w:t>
      </w:r>
    </w:p>
    <w:p w14:paraId="4C7C7E3F" w14:textId="77777777" w:rsidR="00A5429D" w:rsidRPr="00A5429D" w:rsidRDefault="00A5429D" w:rsidP="00A5429D">
      <w:pPr>
        <w:suppressLineNumbers/>
        <w:jc w:val="center"/>
        <w:rPr>
          <w:b/>
          <w:caps/>
          <w:sz w:val="10"/>
          <w:szCs w:val="10"/>
          <w:lang w:val="pt-BR"/>
        </w:rPr>
      </w:pPr>
    </w:p>
    <w:tbl>
      <w:tblPr>
        <w:tblW w:w="9639" w:type="dxa"/>
        <w:jc w:val="center"/>
        <w:tblBorders>
          <w:top w:val="single" w:sz="12" w:space="0" w:color="auto"/>
          <w:bottom w:val="single" w:sz="12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639"/>
      </w:tblGrid>
      <w:tr w:rsidR="00A5429D" w:rsidRPr="0042334D" w14:paraId="37F478E9" w14:textId="77777777" w:rsidTr="00A5429D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  <w:hideMark/>
          </w:tcPr>
          <w:p w14:paraId="5F040303" w14:textId="28ADAEFF" w:rsidR="00A5429D" w:rsidRPr="00A5429D" w:rsidRDefault="00A5429D">
            <w:pPr>
              <w:suppressLineNumbers/>
              <w:jc w:val="center"/>
              <w:rPr>
                <w:b/>
                <w:caps/>
                <w:sz w:val="26"/>
                <w:szCs w:val="26"/>
                <w:lang w:val="pt-BR"/>
              </w:rPr>
            </w:pPr>
            <w:r w:rsidRPr="00A5429D">
              <w:rPr>
                <w:b/>
                <w:caps/>
                <w:sz w:val="26"/>
                <w:szCs w:val="26"/>
                <w:lang w:val="pt-BR"/>
              </w:rPr>
              <w:lastRenderedPageBreak/>
              <w:t>PARECER TÉCNICO 01/2021 – CEF-CAU/M</w:t>
            </w:r>
            <w:r>
              <w:rPr>
                <w:b/>
                <w:caps/>
                <w:sz w:val="26"/>
                <w:szCs w:val="26"/>
                <w:lang w:val="pt-BR"/>
              </w:rPr>
              <w:t>G</w:t>
            </w:r>
          </w:p>
        </w:tc>
      </w:tr>
    </w:tbl>
    <w:p w14:paraId="38CF4EEC" w14:textId="77777777" w:rsidR="00A5429D" w:rsidRPr="00A5429D" w:rsidRDefault="00A5429D" w:rsidP="00A5429D">
      <w:pPr>
        <w:suppressLineNumbers/>
        <w:spacing w:line="276" w:lineRule="auto"/>
        <w:jc w:val="center"/>
        <w:rPr>
          <w:rFonts w:ascii="Cambria" w:hAnsi="Cambria"/>
          <w:b/>
          <w:caps/>
          <w:sz w:val="24"/>
          <w:szCs w:val="24"/>
          <w:lang w:val="pt-BR"/>
        </w:rPr>
      </w:pPr>
    </w:p>
    <w:tbl>
      <w:tblPr>
        <w:tblW w:w="9639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5429D" w:rsidRPr="0042334D" w14:paraId="27BA3553" w14:textId="77777777" w:rsidTr="00A5429D">
        <w:trPr>
          <w:trHeight w:val="351"/>
          <w:jc w:val="center"/>
        </w:trPr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4138A21" w14:textId="77777777" w:rsidR="00A5429D" w:rsidRDefault="00A5429D">
            <w:pPr>
              <w:suppressLineNumbers/>
              <w:jc w:val="right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Assunto:</w:t>
            </w:r>
          </w:p>
        </w:tc>
        <w:tc>
          <w:tcPr>
            <w:tcW w:w="7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CA6D805" w14:textId="77777777" w:rsidR="00A5429D" w:rsidRPr="00A5429D" w:rsidRDefault="00A5429D">
            <w:pPr>
              <w:suppressLineNumbers/>
              <w:jc w:val="both"/>
              <w:rPr>
                <w:sz w:val="24"/>
                <w:szCs w:val="24"/>
                <w:lang w:val="pt-BR"/>
              </w:rPr>
            </w:pPr>
            <w:r w:rsidRPr="00A5429D">
              <w:rPr>
                <w:lang w:val="pt-BR"/>
              </w:rPr>
              <w:t>Processo de inclusão de título de especialização em Engenharia de Segurança do Trabalho, para averiguações acerca do atendimento aos normativos vigentes no âmbito do CAU</w:t>
            </w:r>
          </w:p>
        </w:tc>
      </w:tr>
      <w:tr w:rsidR="00A5429D" w14:paraId="783E5E49" w14:textId="77777777" w:rsidTr="00A5429D">
        <w:trPr>
          <w:trHeight w:val="351"/>
          <w:jc w:val="center"/>
        </w:trPr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2D9C6E38" w14:textId="77777777" w:rsidR="00A5429D" w:rsidRDefault="00A5429D">
            <w:pPr>
              <w:suppressLineNumbers/>
              <w:jc w:val="right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Interessado:</w:t>
            </w:r>
          </w:p>
        </w:tc>
        <w:tc>
          <w:tcPr>
            <w:tcW w:w="7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653D359B" w14:textId="77777777" w:rsidR="00A5429D" w:rsidRDefault="00A5429D">
            <w:pPr>
              <w:suppressLineNumbers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t>ÚRSULA DOS SANTOS FRAGOSO</w:t>
            </w:r>
          </w:p>
        </w:tc>
      </w:tr>
      <w:tr w:rsidR="00A5429D" w14:paraId="6A9ACE14" w14:textId="77777777" w:rsidTr="00A5429D">
        <w:trPr>
          <w:trHeight w:val="351"/>
          <w:jc w:val="center"/>
        </w:trPr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BB414B4" w14:textId="77777777" w:rsidR="00A5429D" w:rsidRDefault="00A5429D">
            <w:pPr>
              <w:suppressLineNumbers/>
              <w:jc w:val="right"/>
              <w:rPr>
                <w:rFonts w:ascii="Cambria" w:eastAsia="MS Mincho" w:hAnsi="Cambria"/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referência:</w:t>
            </w:r>
          </w:p>
        </w:tc>
        <w:tc>
          <w:tcPr>
            <w:tcW w:w="7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68AEC60" w14:textId="77777777" w:rsidR="00A5429D" w:rsidRDefault="00A5429D">
            <w:pPr>
              <w:suppressLineNumbers/>
              <w:rPr>
                <w:sz w:val="24"/>
                <w:szCs w:val="24"/>
              </w:rPr>
            </w:pPr>
            <w:r>
              <w:t>Protocolo SICCAU nº 1121078/2020</w:t>
            </w:r>
          </w:p>
        </w:tc>
      </w:tr>
      <w:tr w:rsidR="00A5429D" w14:paraId="3BB9CBCD" w14:textId="77777777" w:rsidTr="00A5429D">
        <w:trPr>
          <w:trHeight w:val="351"/>
          <w:jc w:val="center"/>
        </w:trPr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FE0BFBD" w14:textId="77777777" w:rsidR="00A5429D" w:rsidRDefault="00A5429D">
            <w:pPr>
              <w:suppressLineNumbers/>
              <w:jc w:val="right"/>
              <w:rPr>
                <w:caps/>
                <w:sz w:val="21"/>
                <w:szCs w:val="21"/>
              </w:rPr>
            </w:pPr>
            <w:r>
              <w:rPr>
                <w:caps/>
                <w:sz w:val="21"/>
                <w:szCs w:val="21"/>
              </w:rPr>
              <w:t>data:</w:t>
            </w:r>
          </w:p>
        </w:tc>
        <w:tc>
          <w:tcPr>
            <w:tcW w:w="7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C2893C4" w14:textId="77777777" w:rsidR="00A5429D" w:rsidRDefault="00A5429D">
            <w:pPr>
              <w:suppressLineNumbers/>
              <w:rPr>
                <w:sz w:val="24"/>
                <w:szCs w:val="24"/>
              </w:rPr>
            </w:pPr>
            <w:r>
              <w:t>19/02/2021</w:t>
            </w:r>
          </w:p>
        </w:tc>
      </w:tr>
    </w:tbl>
    <w:p w14:paraId="61CC4C37" w14:textId="77777777" w:rsidR="00A5429D" w:rsidRDefault="00A5429D" w:rsidP="00A5429D">
      <w:pPr>
        <w:rPr>
          <w:rFonts w:ascii="Cambria" w:hAnsi="Cambria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A5429D" w:rsidRPr="0042334D" w14:paraId="1B777DD3" w14:textId="77777777" w:rsidTr="00A5429D">
        <w:trPr>
          <w:trHeight w:val="72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594C487" w14:textId="77777777" w:rsidR="00A5429D" w:rsidRDefault="00A5429D">
            <w:pPr>
              <w:pStyle w:val="Default"/>
              <w:spacing w:before="120"/>
              <w:ind w:left="-32"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  <w:t>HISTÓRICO</w:t>
            </w:r>
          </w:p>
          <w:p w14:paraId="6744541F" w14:textId="77777777" w:rsidR="00A5429D" w:rsidRDefault="00A5429D">
            <w:pPr>
              <w:pStyle w:val="Default"/>
              <w:spacing w:before="120"/>
              <w:ind w:left="-32"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</w:p>
          <w:p w14:paraId="435C0473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 xml:space="preserve">Trata-se de Processo de inclusão de título complementar de “Engenheiro (a) de Segurança do Trabalho (Especialização)”, cadastrada pela requerente </w:t>
            </w:r>
            <w:r>
              <w:rPr>
                <w:rFonts w:ascii="Cambria" w:eastAsia="MS Mincho" w:hAnsi="Cambria"/>
                <w:color w:val="auto"/>
                <w:lang w:val="pt-BR"/>
              </w:rPr>
              <w:t>ÚRSULA DOS SANTOS FRAGOSO</w:t>
            </w:r>
            <w:r>
              <w:rPr>
                <w:rFonts w:ascii="Cambria" w:hAnsi="Cambria"/>
                <w:sz w:val="21"/>
                <w:szCs w:val="21"/>
                <w:lang w:val="pt-BR"/>
              </w:rPr>
              <w:t xml:space="preserve"> junto ao CAU/MG, por meio do Protocolo SICCAU n. 1121078/2020. </w:t>
            </w:r>
          </w:p>
          <w:p w14:paraId="3C238BCA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Após análise realizada pela Assessoria Técnica da CEF-CAU/MG, e por entender que a documentação encaminhada atendia aos requisitos de carga-horária (inclusive de carga-horária mínima para atividades práticas) e demais exigências dos normativos vigentes do CAU, em especial da Deliberação DCEF-CAU/BR n. 017/2020, que estabelece os critérios de análise para os processos dessa natureza, foi recomendado o deferimento do pleito, procedido pela CEF-CAU/MG por meio da Deliberação DCEF-CAU/MG n. 137.3.2/2020, de 25 de agosto de 2020.</w:t>
            </w:r>
          </w:p>
          <w:p w14:paraId="3AB6A052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 xml:space="preserve">Ocorre que a requerente em questão, em oportunidade anterior, havia cadastrado a mesma demanda – inclusão de título complementar de “Engenheiro (a) de Segurança do Trabalho (Especialização)” – junto ao CAU/SP, por meio do Protocolo SICCAU n. 901301/2019, quando seu registro profissional ainda encontrava-se vinculado a este CAU/UF, ou seja, antes de realização de atualização cadastral e troca de endereço no sistema SICCAU, com transferência do registro para o Estado de Minas Gerais. Assim sendo, a solicitação de anotação de título veio a ser indeferida pelo CAU/SP, em 21 de dezembro de 2020, por meio da Deliberação nº 313/2020 - CEF CAU/SP, pelos seguintes motivos: (i) não atende aos requisitos do inciso I, do artigo 1º, da Lei 7.410/1985 e o inciso I, artigo 1º, do Decreto nº 92.530/1986; (ii) não informa o número do registro do Certificado. </w:t>
            </w:r>
          </w:p>
          <w:p w14:paraId="0B313EC3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 xml:space="preserve">Após identificada a situação de divergência de pareceres entre as duas CEF-CAU/UF, a Assessoria Técnica da CEF-CAU/MG solicitou à Assessoria Técnica da CEF-CAU/SP, via mensagem eletrônica, os documentos constantes no Protocolo SICCAU n. 901301/2019, que indeferiu o pleito, de forma a avaliar eventual desconformidade na análise procedida pela CEF-CAU/MG. </w:t>
            </w:r>
          </w:p>
          <w:p w14:paraId="7B417190" w14:textId="5A5CF9A7" w:rsidR="00A5429D" w:rsidRDefault="00A5429D">
            <w:pPr>
              <w:pStyle w:val="Default"/>
              <w:spacing w:before="120"/>
              <w:ind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</w:p>
          <w:p w14:paraId="3BE2501D" w14:textId="77777777" w:rsidR="00A5429D" w:rsidRDefault="00A5429D">
            <w:pPr>
              <w:pStyle w:val="Default"/>
              <w:spacing w:before="120"/>
              <w:ind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</w:p>
          <w:p w14:paraId="18AEA065" w14:textId="77777777" w:rsidR="00A5429D" w:rsidRDefault="00A5429D">
            <w:pPr>
              <w:pStyle w:val="Default"/>
              <w:spacing w:before="120"/>
              <w:ind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  <w:t>RELATÓRIO</w:t>
            </w:r>
          </w:p>
          <w:p w14:paraId="7E4BF890" w14:textId="77777777" w:rsidR="00A5429D" w:rsidRDefault="00A5429D">
            <w:pPr>
              <w:pStyle w:val="Default"/>
              <w:spacing w:before="120"/>
              <w:ind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</w:p>
          <w:p w14:paraId="438B9D28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Considerando consulta encaminhada à Assessoria Técnica da CEF-CAU/SP, por mensagem eletrônica encaminhada em 15/01/2021, solicitando os autos do processo que acarretaram no indeferimento do pleito da requerente;</w:t>
            </w:r>
          </w:p>
          <w:p w14:paraId="5E18D049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 xml:space="preserve">Considerando análise aos autos procedida pela Assessoria Jurídica do CAU/MG, que, em um primeiro momento opinou: </w:t>
            </w:r>
          </w:p>
          <w:p w14:paraId="78FB68AB" w14:textId="77777777" w:rsidR="00A5429D" w:rsidRDefault="00A5429D">
            <w:pPr>
              <w:shd w:val="clear" w:color="auto" w:fill="FFFFFF"/>
              <w:ind w:left="1166"/>
              <w:jc w:val="both"/>
              <w:textAlignment w:val="baseline"/>
              <w:rPr>
                <w:rFonts w:ascii="Cambria" w:eastAsia="Times New Roman" w:hAnsi="Cambria" w:cs="Segoe UI"/>
                <w:i/>
                <w:iCs/>
                <w:color w:val="000000"/>
                <w:sz w:val="21"/>
                <w:szCs w:val="21"/>
                <w:lang w:val="pt-BR" w:eastAsia="pt-BR"/>
              </w:rPr>
            </w:pP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lang w:val="pt-BR" w:eastAsia="pt-BR"/>
              </w:rPr>
              <w:t>“Assim sendo, tendo em vista que a profissional realizou um curso de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Curso de Especialização, na modalidade Extensão Universitária, regulamentado pela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pt-BR" w:eastAsia="pt-BR"/>
              </w:rPr>
              <w:t>Deliberação CEPE A 04/03 (conforme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Catálogo de Cursos de Extensão da UNICAMP), e que não atende aos requisitos da Resolução CNE/CES nº 01 de 08/06/2007, bem como da Resolução CNE/CES nº 01, de 06/04/2018, que a sucedeu,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u w:val="single"/>
                <w:lang w:val="pt-BR" w:eastAsia="pt-BR"/>
              </w:rPr>
              <w:t>é possível concluir que o curso realizado pela profissional não pode ser considerado um curso de pós-graduação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lang w:val="pt-BR" w:eastAsia="pt-BR"/>
              </w:rPr>
              <w:t>, na forma do artigo 44, inciso III, da</w:t>
            </w:r>
            <w:r w:rsidRPr="00A5429D">
              <w:rPr>
                <w:rFonts w:eastAsia="Times New Roman" w:cs="Segoe UI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Lei de Diretrizes e Bases da Educação Nacional (Lei nº 9.394/96),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val="pt-BR" w:eastAsia="pt-BR"/>
              </w:rPr>
              <w:t>não atendendo, portanto, à exigência do artigo 1º, I, da Lei nº 7.410/85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, qual seja “conclusão de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val="pt-BR" w:eastAsia="pt-BR"/>
              </w:rPr>
              <w:t>curso de especialização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 em Engenharia de Segurança do Trabalho, a ser ministrado no País,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u w:val="single"/>
                <w:bdr w:val="none" w:sz="0" w:space="0" w:color="auto" w:frame="1"/>
                <w:lang w:val="pt-BR" w:eastAsia="pt-BR"/>
              </w:rPr>
              <w:t>em nível de pós-graduação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”.</w:t>
            </w:r>
          </w:p>
          <w:p w14:paraId="5FEB5464" w14:textId="77777777" w:rsidR="00A5429D" w:rsidRPr="00A5429D" w:rsidRDefault="00A5429D">
            <w:pPr>
              <w:shd w:val="clear" w:color="auto" w:fill="FFFFFF"/>
              <w:ind w:left="1166"/>
              <w:jc w:val="both"/>
              <w:textAlignment w:val="baseline"/>
              <w:rPr>
                <w:rFonts w:eastAsia="Times New Roman" w:cs="Segoe UI"/>
                <w:i/>
                <w:iCs/>
                <w:color w:val="000000"/>
                <w:sz w:val="21"/>
                <w:szCs w:val="21"/>
                <w:lang w:val="pt-BR" w:eastAsia="pt-BR"/>
              </w:rPr>
            </w:pPr>
          </w:p>
          <w:p w14:paraId="62116C4C" w14:textId="77777777" w:rsidR="00A5429D" w:rsidRPr="00A5429D" w:rsidRDefault="00A5429D">
            <w:pPr>
              <w:shd w:val="clear" w:color="auto" w:fill="FFFFFF"/>
              <w:ind w:left="1166"/>
              <w:jc w:val="both"/>
              <w:textAlignment w:val="baseline"/>
              <w:rPr>
                <w:rFonts w:eastAsia="Times New Roman" w:cs="Segoe UI"/>
                <w:i/>
                <w:iCs/>
                <w:color w:val="000000"/>
                <w:sz w:val="21"/>
                <w:szCs w:val="21"/>
                <w:lang w:val="pt-BR" w:eastAsia="pt-BR"/>
              </w:rPr>
            </w:pP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lang w:val="pt-BR" w:eastAsia="pt-BR"/>
              </w:rPr>
              <w:t>Diante disso, recomendamos a instauração de processo administrativo para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pt-BR" w:eastAsia="pt-BR"/>
              </w:rPr>
              <w:t>anulação do registro do título complementar, instruído com a documentação encaminhada pela </w:t>
            </w:r>
            <w:r w:rsidRPr="00A5429D">
              <w:rPr>
                <w:rFonts w:eastAsia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val="pt-BR" w:eastAsia="pt-BR"/>
              </w:rPr>
              <w:t>CEF-CAU/SP.” </w:t>
            </w:r>
          </w:p>
          <w:p w14:paraId="517495FF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</w:p>
          <w:p w14:paraId="00AB312E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Considerando que a decisão pelo indeferimento procedida pelo CAU/SP no Protocolo SICCAU n. 901301/2019 ocorreu após a transferência do registro profissional da requerente para o Estado de Minas Gerais, e a informação da Assessoria Jurídica do CAU/SP de que a CEF-CAU/SP não teria mais competência para emissão da Deliberação sobre a matéria, restando como instância competente para apreciar o caso apenas a CEF-CAU/MG;</w:t>
            </w:r>
          </w:p>
          <w:p w14:paraId="428A6782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Considerando a informação superveniente da Gerência Jurídica do CAU/MG sobre a existência de ação judicial movida pela requerente em desfavor do CAU/BR e da Instituição de Ensino Superior (Processo nº 1004156-60.2021.4.01.3800), distribuída em 01/02/2021, no qual a profissional alega ter sido prejudicada no processo referente ao Protocolo SICCAU n. 901301/2019, que indeferiu sua solicitação de inclusão de título complementar de “Engenheiro (a) de Segurança do Trabalho (Especialização)”, e cujos pedidos são, em síntese, a manutenção do registro da Especialização e a condenação em danos materiais, morais e perda de uma chance;</w:t>
            </w:r>
          </w:p>
          <w:p w14:paraId="52B1D01A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Considerando a existência de controvérsia jurídica acerca da recepção pela Constituição da República de 1988 do Parecer nº 19/1987 do Conselho Federal de Educação, de 27 de janeiro de 1987, que estabelece o Currículo Básico do Curso de Especialização em Engenharia de Segurança do Trabalho, bem como o aparente conflito normativo entre o disposto no Parecer CFE nº 19/1987 e na Resolução CNE/CES nº 01 de 08/06/2007, sucedida pela Resolução CNE/CES nº 01, de 06/04/2018, especialmente no que toca à carga horária mínima, respectivamente, de 600 e 360 horas;</w:t>
            </w:r>
          </w:p>
          <w:p w14:paraId="0A894DA4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lastRenderedPageBreak/>
              <w:t>Considerando a divergência inicial de entendimentos entre a CEF-CAU/MG e CEF-CAU/SP;</w:t>
            </w:r>
          </w:p>
          <w:p w14:paraId="50743809" w14:textId="77777777" w:rsidR="00A5429D" w:rsidRDefault="00A5429D">
            <w:pPr>
              <w:pStyle w:val="Default"/>
              <w:spacing w:before="120" w:after="120" w:line="360" w:lineRule="auto"/>
              <w:ind w:left="-34"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Considerando ainda o disposto no artigo 99 da Resolução nº 139, de 28 de abril de 2017 – Anexo II;</w:t>
            </w:r>
          </w:p>
          <w:p w14:paraId="15969899" w14:textId="77777777" w:rsidR="00A5429D" w:rsidRDefault="00A5429D">
            <w:pPr>
              <w:pStyle w:val="Default"/>
              <w:spacing w:before="240" w:after="240"/>
              <w:ind w:right="-108"/>
              <w:jc w:val="both"/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b/>
                <w:color w:val="auto"/>
                <w:sz w:val="21"/>
                <w:szCs w:val="21"/>
                <w:lang w:val="pt-BR"/>
              </w:rPr>
              <w:t>PARECER</w:t>
            </w:r>
          </w:p>
          <w:p w14:paraId="4D68EB91" w14:textId="77777777" w:rsidR="00A5429D" w:rsidRDefault="00A5429D">
            <w:pPr>
              <w:pStyle w:val="Default"/>
              <w:spacing w:before="120" w:after="120" w:line="360" w:lineRule="auto"/>
              <w:ind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 xml:space="preserve">Visto todo o exposto, o entendimento da Assessoria Técnica da CEF-CAU/MG é no sentido de que não haveria elementos conclusivos, por ora, para provocar um processo de anulação do registro de título complementar da requerente. Especialmente considerando a demanda judicial em curso, cujo objeto versa sobre os mesmos fatos ora analisados, e na qual o CAU/BR integra o polo passivo, seria temerário encetar novas discussões no âmbito do processo de inclusão de título complementar que correu junto ao CAU/MG. Desse modo, tendo em vista a existência de controvérsias acerca da validade das normas que permeiam o tema, e que cabe à CEF-CAU/BR uniformizar a compreensão sobre as matérias referentes a ensino e formação, sugere-se o encaminhamento do feito ao CAU/BR para conhecimento, orientações e adoção das providências que se fizerem necessárias. </w:t>
            </w:r>
          </w:p>
          <w:p w14:paraId="4D21E62D" w14:textId="77777777" w:rsidR="00A5429D" w:rsidRDefault="00A5429D">
            <w:pPr>
              <w:pStyle w:val="Default"/>
              <w:spacing w:before="120" w:after="120" w:line="360" w:lineRule="auto"/>
              <w:ind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É este o parecer apresentado à Comissão de Ensino e Formação do CAU/MG – CEF-CAU/MG.</w:t>
            </w:r>
          </w:p>
          <w:p w14:paraId="288837A6" w14:textId="77777777" w:rsidR="00A5429D" w:rsidRDefault="00A5429D">
            <w:pPr>
              <w:pStyle w:val="Default"/>
              <w:spacing w:before="120" w:after="120" w:line="360" w:lineRule="auto"/>
              <w:ind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  <w:r>
              <w:rPr>
                <w:rFonts w:ascii="Cambria" w:hAnsi="Cambria"/>
                <w:sz w:val="21"/>
                <w:szCs w:val="21"/>
                <w:lang w:val="pt-BR"/>
              </w:rPr>
              <w:t>Belo Horizonte, 19 de fevereiro de 2021.</w:t>
            </w:r>
          </w:p>
          <w:p w14:paraId="0CCB92FB" w14:textId="54674706" w:rsidR="00A5429D" w:rsidRDefault="00A5429D">
            <w:pPr>
              <w:pStyle w:val="Default"/>
              <w:spacing w:before="120" w:after="120" w:line="360" w:lineRule="auto"/>
              <w:ind w:right="176"/>
              <w:jc w:val="both"/>
              <w:rPr>
                <w:rFonts w:ascii="Cambria" w:hAnsi="Cambria"/>
                <w:sz w:val="21"/>
                <w:szCs w:val="21"/>
                <w:lang w:val="pt-BR"/>
              </w:rPr>
            </w:pPr>
          </w:p>
          <w:p w14:paraId="6E68EABE" w14:textId="77777777" w:rsidR="005A70A3" w:rsidRDefault="005A70A3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  <w:p w14:paraId="78D25915" w14:textId="46275807" w:rsidR="00A5429D" w:rsidRDefault="00A5429D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A5429D">
              <w:rPr>
                <w:rFonts w:ascii="Arial" w:hAnsi="Arial" w:cs="Arial"/>
                <w:sz w:val="16"/>
                <w:szCs w:val="16"/>
                <w:lang w:val="pt-BR" w:eastAsia="pt-BR"/>
              </w:rPr>
              <w:t>_______________________________________</w:t>
            </w:r>
          </w:p>
          <w:p w14:paraId="38B079C8" w14:textId="77777777" w:rsidR="00A5429D" w:rsidRPr="00A5429D" w:rsidRDefault="00A5429D">
            <w:pPr>
              <w:spacing w:line="300" w:lineRule="auto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A5429D">
              <w:rPr>
                <w:rFonts w:ascii="Arial" w:hAnsi="Arial" w:cs="Arial"/>
                <w:sz w:val="20"/>
                <w:szCs w:val="20"/>
                <w:lang w:val="pt-BR" w:eastAsia="pt-BR"/>
              </w:rPr>
              <w:t>Darlan Gonçalves de Oliveira</w:t>
            </w:r>
          </w:p>
          <w:p w14:paraId="653CD0EF" w14:textId="77777777" w:rsidR="00A5429D" w:rsidRPr="00A5429D" w:rsidRDefault="00A5429D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A5429D">
              <w:rPr>
                <w:rFonts w:ascii="Arial" w:hAnsi="Arial" w:cs="Arial"/>
                <w:sz w:val="16"/>
                <w:szCs w:val="16"/>
                <w:lang w:val="pt-BR" w:eastAsia="pt-BR"/>
              </w:rPr>
              <w:t>Arquiteto Analista – Assessor Técnico</w:t>
            </w:r>
          </w:p>
          <w:p w14:paraId="69285483" w14:textId="77777777" w:rsidR="00A5429D" w:rsidRPr="00A5429D" w:rsidRDefault="00A5429D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A5429D">
              <w:rPr>
                <w:rFonts w:ascii="Arial" w:hAnsi="Arial" w:cs="Arial"/>
                <w:sz w:val="16"/>
                <w:szCs w:val="16"/>
                <w:lang w:val="pt-BR" w:eastAsia="pt-BR"/>
              </w:rPr>
              <w:t>Comissão de Ensino e Formação – CEF-CAU/MG</w:t>
            </w:r>
          </w:p>
          <w:p w14:paraId="4B3F10D0" w14:textId="77777777" w:rsidR="00A5429D" w:rsidRDefault="00A5429D">
            <w:pPr>
              <w:pStyle w:val="Default"/>
              <w:spacing w:before="120"/>
              <w:ind w:right="175"/>
              <w:jc w:val="both"/>
              <w:rPr>
                <w:rStyle w:val="Hyperlink"/>
                <w:bCs/>
                <w:color w:val="auto"/>
                <w:sz w:val="20"/>
                <w:szCs w:val="20"/>
                <w:lang w:val="pt-BR"/>
              </w:rPr>
            </w:pPr>
          </w:p>
          <w:p w14:paraId="4D74D2A1" w14:textId="77777777" w:rsidR="00A5429D" w:rsidRDefault="00A5429D">
            <w:pPr>
              <w:pStyle w:val="Default"/>
              <w:spacing w:before="120"/>
              <w:ind w:right="175"/>
              <w:jc w:val="both"/>
              <w:rPr>
                <w:rStyle w:val="Hyperlink"/>
                <w:bCs/>
                <w:sz w:val="20"/>
                <w:szCs w:val="20"/>
                <w:lang w:val="pt-BR"/>
              </w:rPr>
            </w:pPr>
          </w:p>
          <w:p w14:paraId="15C146E1" w14:textId="77777777" w:rsidR="00A5429D" w:rsidRDefault="00A5429D">
            <w:pPr>
              <w:pStyle w:val="Default"/>
              <w:spacing w:before="120"/>
              <w:ind w:right="175"/>
              <w:jc w:val="both"/>
              <w:rPr>
                <w:rStyle w:val="Hyperlink"/>
                <w:bCs/>
                <w:color w:val="auto"/>
                <w:sz w:val="20"/>
                <w:szCs w:val="20"/>
                <w:lang w:val="pt-BR"/>
              </w:rPr>
            </w:pPr>
          </w:p>
          <w:p w14:paraId="32C8D7CB" w14:textId="77777777" w:rsidR="00A5429D" w:rsidRDefault="00A5429D">
            <w:pPr>
              <w:pStyle w:val="Default"/>
              <w:spacing w:before="120"/>
              <w:ind w:right="175"/>
              <w:jc w:val="both"/>
              <w:rPr>
                <w:rStyle w:val="Hyperlink"/>
                <w:bCs/>
                <w:lang w:val="pt-BR"/>
              </w:rPr>
            </w:pPr>
          </w:p>
          <w:p w14:paraId="5E0B471C" w14:textId="77777777" w:rsidR="00A5429D" w:rsidRDefault="00A5429D">
            <w:pPr>
              <w:pStyle w:val="Default"/>
              <w:spacing w:before="120"/>
              <w:ind w:right="175"/>
              <w:jc w:val="both"/>
              <w:rPr>
                <w:rStyle w:val="Hyperlink"/>
                <w:bCs/>
                <w:color w:val="auto"/>
                <w:sz w:val="20"/>
                <w:szCs w:val="20"/>
                <w:lang w:val="pt-BR"/>
              </w:rPr>
            </w:pPr>
          </w:p>
          <w:p w14:paraId="71B3D822" w14:textId="77777777" w:rsidR="00A5429D" w:rsidRPr="00A5429D" w:rsidRDefault="00A5429D">
            <w:pPr>
              <w:jc w:val="center"/>
              <w:rPr>
                <w:sz w:val="18"/>
                <w:lang w:val="pt-BR"/>
              </w:rPr>
            </w:pPr>
            <w:r w:rsidRPr="00A5429D">
              <w:rPr>
                <w:sz w:val="18"/>
                <w:szCs w:val="20"/>
                <w:lang w:val="pt-BR"/>
              </w:rPr>
              <w:t xml:space="preserve"> </w:t>
            </w:r>
          </w:p>
        </w:tc>
      </w:tr>
    </w:tbl>
    <w:p w14:paraId="2E641C47" w14:textId="77777777" w:rsidR="00A5429D" w:rsidRDefault="00A5429D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A5429D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221D" w14:textId="77777777" w:rsidR="002D6215" w:rsidRDefault="002D6215" w:rsidP="007E22C9">
      <w:r>
        <w:separator/>
      </w:r>
    </w:p>
  </w:endnote>
  <w:endnote w:type="continuationSeparator" w:id="0">
    <w:p w14:paraId="0BCD443A" w14:textId="77777777" w:rsidR="002D6215" w:rsidRDefault="002D621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1217" w14:textId="77777777" w:rsidR="002D6215" w:rsidRDefault="002D6215" w:rsidP="007E22C9">
      <w:r>
        <w:separator/>
      </w:r>
    </w:p>
  </w:footnote>
  <w:footnote w:type="continuationSeparator" w:id="0">
    <w:p w14:paraId="0841E699" w14:textId="77777777" w:rsidR="002D6215" w:rsidRDefault="002D621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73673"/>
    <w:rsid w:val="00283805"/>
    <w:rsid w:val="002957D9"/>
    <w:rsid w:val="002D6215"/>
    <w:rsid w:val="002E7999"/>
    <w:rsid w:val="00331B92"/>
    <w:rsid w:val="003502FC"/>
    <w:rsid w:val="003A3415"/>
    <w:rsid w:val="003B1724"/>
    <w:rsid w:val="003C3452"/>
    <w:rsid w:val="003C6DE1"/>
    <w:rsid w:val="003D331E"/>
    <w:rsid w:val="003E314B"/>
    <w:rsid w:val="003E6D01"/>
    <w:rsid w:val="003E749D"/>
    <w:rsid w:val="00414F9B"/>
    <w:rsid w:val="00417F55"/>
    <w:rsid w:val="0042334D"/>
    <w:rsid w:val="00433113"/>
    <w:rsid w:val="00452713"/>
    <w:rsid w:val="00456FC0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70A3"/>
    <w:rsid w:val="005D1468"/>
    <w:rsid w:val="005D1CA7"/>
    <w:rsid w:val="005F3D29"/>
    <w:rsid w:val="00601495"/>
    <w:rsid w:val="00626459"/>
    <w:rsid w:val="00626638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224AD"/>
    <w:rsid w:val="009310B5"/>
    <w:rsid w:val="0093454B"/>
    <w:rsid w:val="00940C7F"/>
    <w:rsid w:val="00952FCF"/>
    <w:rsid w:val="00984354"/>
    <w:rsid w:val="00984CE8"/>
    <w:rsid w:val="009F05E2"/>
    <w:rsid w:val="00A13922"/>
    <w:rsid w:val="00A36E40"/>
    <w:rsid w:val="00A5429D"/>
    <w:rsid w:val="00A70765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B6A31"/>
    <w:rsid w:val="00BC0830"/>
    <w:rsid w:val="00BD7356"/>
    <w:rsid w:val="00BD7AF3"/>
    <w:rsid w:val="00BE382F"/>
    <w:rsid w:val="00BE7D41"/>
    <w:rsid w:val="00BF3DE2"/>
    <w:rsid w:val="00C1794B"/>
    <w:rsid w:val="00C21D9B"/>
    <w:rsid w:val="00C45CEC"/>
    <w:rsid w:val="00C6343F"/>
    <w:rsid w:val="00C72CEA"/>
    <w:rsid w:val="00C813DF"/>
    <w:rsid w:val="00C87546"/>
    <w:rsid w:val="00C91EA2"/>
    <w:rsid w:val="00CA0C3F"/>
    <w:rsid w:val="00D20C72"/>
    <w:rsid w:val="00D51329"/>
    <w:rsid w:val="00D66F4F"/>
    <w:rsid w:val="00D842EA"/>
    <w:rsid w:val="00DA1E10"/>
    <w:rsid w:val="00DB0FEA"/>
    <w:rsid w:val="00DD53DF"/>
    <w:rsid w:val="00DF4E5D"/>
    <w:rsid w:val="00E0315D"/>
    <w:rsid w:val="00E17A00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uiPriority w:val="99"/>
    <w:semiHidden/>
    <w:unhideWhenUsed/>
    <w:rsid w:val="00A54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1893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2021-03-04T17:32:00Z</cp:lastPrinted>
  <dcterms:created xsi:type="dcterms:W3CDTF">2021-02-18T14:46:00Z</dcterms:created>
  <dcterms:modified xsi:type="dcterms:W3CDTF">2021-03-04T17:33:00Z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