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3573"/>
        <w:gridCol w:w="4240"/>
      </w:tblGrid>
      <w:tr w:rsidR="003742F0" w:rsidRPr="0032008D" w14:paraId="412D013E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8AEFC73" w14:textId="77777777" w:rsidR="003742F0" w:rsidRDefault="0028735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>SÚMULA DA 1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70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4C179E9E" w14:textId="77777777" w:rsidR="003742F0" w:rsidRDefault="0028735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3742F0" w:rsidRPr="0032008D" w14:paraId="62344B93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958C4D" w14:textId="77777777" w:rsidR="003742F0" w:rsidRDefault="003742F0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742F0" w14:paraId="51562805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B442BEF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3742F0" w14:paraId="3CAED0E1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714A2A7F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54D2C71" w14:textId="77777777" w:rsidR="003742F0" w:rsidRDefault="00287356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21 de dezembro de 2020</w:t>
            </w:r>
          </w:p>
        </w:tc>
      </w:tr>
      <w:tr w:rsidR="003742F0" w:rsidRPr="0032008D" w14:paraId="1707548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9901BCF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887A665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[reunião realizada em ambiente virtual, através de videoconferência]</w:t>
            </w:r>
          </w:p>
        </w:tc>
      </w:tr>
      <w:tr w:rsidR="003742F0" w14:paraId="00499B3B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F4163E2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5AA17D1D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3742F0" w14:paraId="57689778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D4C3CF" w14:textId="77777777" w:rsidR="003742F0" w:rsidRDefault="003742F0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742F0" w14:paraId="0AD6008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287B274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2. </w:t>
            </w: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3742F0" w:rsidRPr="0032008D" w14:paraId="77C6DE3D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4EDE3213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3D33DB3E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96EB949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 da CEP-CAU/MG</w:t>
            </w:r>
          </w:p>
        </w:tc>
      </w:tr>
      <w:tr w:rsidR="003742F0" w:rsidRPr="0032008D" w14:paraId="4254F3B6" w14:textId="7777777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2348B742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37AB2470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3BA19EC6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Coordenadora Adjunta da CEP-CAU/MG</w:t>
            </w:r>
          </w:p>
        </w:tc>
      </w:tr>
      <w:tr w:rsidR="003742F0" w:rsidRPr="0032008D" w14:paraId="043E3AA6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0166887" w14:textId="77777777" w:rsidR="003742F0" w:rsidRDefault="003742F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6B4F3F7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66FFF3F0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 da CEP-CAU/MG</w:t>
            </w:r>
          </w:p>
        </w:tc>
      </w:tr>
      <w:tr w:rsidR="003742F0" w:rsidRPr="0032008D" w14:paraId="355569E4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625C9A77" w14:textId="77777777" w:rsidR="003742F0" w:rsidRDefault="003742F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59EAEDC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Ariel </w:t>
            </w:r>
            <w:proofErr w:type="spellStart"/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Luis</w:t>
            </w:r>
            <w:proofErr w:type="spellEnd"/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Lazzarin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3A6E96B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Titular da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CEP-CAU/MG</w:t>
            </w:r>
          </w:p>
        </w:tc>
      </w:tr>
      <w:tr w:rsidR="003742F0" w14:paraId="753C6173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28CC1643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87ED84A" w14:textId="77777777" w:rsidR="003742F0" w:rsidRDefault="00287356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</w:tr>
      <w:tr w:rsidR="003742F0" w14:paraId="71EC3BCE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737F6D" w14:textId="77777777" w:rsidR="003742F0" w:rsidRDefault="003742F0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742F0" w14:paraId="5BBD0BD4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BF4B6B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3742F0" w:rsidRPr="0032008D" w14:paraId="309A467C" w14:textId="77777777">
        <w:trPr>
          <w:trHeight w:val="80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E7BBA8C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6BB09AB2" w14:textId="77777777" w:rsidR="003742F0" w:rsidRDefault="003742F0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12B9905" w14:textId="77777777" w:rsidR="003742F0" w:rsidRPr="0032008D" w:rsidRDefault="00287356">
            <w:pPr>
              <w:suppressLineNumbers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Foi verificado o quórum às 10h09min</w:t>
            </w:r>
            <w:r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3742F0" w14:paraId="2383669B" w14:textId="77777777">
        <w:trPr>
          <w:trHeight w:val="96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298ECBA7" w14:textId="77777777" w:rsidR="003742F0" w:rsidRDefault="003742F0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14:paraId="66279FE1" w14:textId="77777777" w:rsidR="003742F0" w:rsidRDefault="00287356">
            <w:pPr>
              <w:spacing w:line="276" w:lineRule="auto"/>
              <w:rPr>
                <w:rFonts w:eastAsia="Calibri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192D6F41" w14:textId="77777777" w:rsidR="003742F0" w:rsidRDefault="003742F0">
            <w:pPr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F11D565" w14:textId="77777777" w:rsidR="003742F0" w:rsidRDefault="00287356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6A347A27" w14:textId="77777777" w:rsidR="003742F0" w:rsidRDefault="003742F0">
            <w:pPr>
              <w:pStyle w:val="PargrafodaLista"/>
              <w:spacing w:line="276" w:lineRule="auto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A3F0ABF" w14:textId="77777777" w:rsidR="003742F0" w:rsidRDefault="00287356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assuntos.</w:t>
            </w:r>
          </w:p>
          <w:p w14:paraId="5F8C46C2" w14:textId="77777777" w:rsidR="003742F0" w:rsidRDefault="003742F0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3742F0" w14:paraId="4191B158" w14:textId="77777777">
        <w:trPr>
          <w:trHeight w:val="829"/>
          <w:jc w:val="center"/>
        </w:trPr>
        <w:tc>
          <w:tcPr>
            <w:tcW w:w="10188" w:type="dxa"/>
            <w:gridSpan w:val="3"/>
            <w:shd w:val="clear" w:color="auto" w:fill="auto"/>
          </w:tcPr>
          <w:p w14:paraId="030411E4" w14:textId="77777777" w:rsidR="003742F0" w:rsidRDefault="003742F0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4E2F198A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14:paraId="7FF3A86F" w14:textId="77777777" w:rsidR="003742F0" w:rsidRDefault="00287356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Não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houveram comunicados.</w:t>
            </w:r>
          </w:p>
        </w:tc>
      </w:tr>
      <w:tr w:rsidR="003742F0" w:rsidRPr="0032008D" w14:paraId="620206F8" w14:textId="77777777">
        <w:trPr>
          <w:trHeight w:val="622"/>
          <w:jc w:val="center"/>
        </w:trPr>
        <w:tc>
          <w:tcPr>
            <w:tcW w:w="10188" w:type="dxa"/>
            <w:gridSpan w:val="3"/>
            <w:shd w:val="clear" w:color="auto" w:fill="auto"/>
          </w:tcPr>
          <w:p w14:paraId="0D4D6319" w14:textId="77777777" w:rsidR="003742F0" w:rsidRDefault="003742F0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6CDF7FA9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55315E78" w14:textId="77777777" w:rsidR="003742F0" w:rsidRDefault="00287356">
            <w:pPr>
              <w:suppressLineNumbers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13h29min.</w:t>
            </w:r>
          </w:p>
        </w:tc>
      </w:tr>
    </w:tbl>
    <w:p w14:paraId="02D24F15" w14:textId="77777777" w:rsidR="003742F0" w:rsidRDefault="003742F0">
      <w:pPr>
        <w:rPr>
          <w:sz w:val="10"/>
          <w:szCs w:val="10"/>
          <w:highlight w:val="yellow"/>
          <w:lang w:val="pt-BR"/>
        </w:rPr>
      </w:pPr>
    </w:p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0188"/>
      </w:tblGrid>
      <w:tr w:rsidR="003742F0" w14:paraId="390B1BFF" w14:textId="77777777">
        <w:trPr>
          <w:trHeight w:val="330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59309D30" w14:textId="77777777" w:rsidR="003742F0" w:rsidRDefault="0028735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7A3DE325" w14:textId="77777777" w:rsidR="003742F0" w:rsidRDefault="003742F0">
      <w:pPr>
        <w:rPr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145"/>
        <w:gridCol w:w="8043"/>
      </w:tblGrid>
      <w:tr w:rsidR="003742F0" w:rsidRPr="0032008D" w14:paraId="1B2622CB" w14:textId="77777777">
        <w:trPr>
          <w:trHeight w:val="330"/>
          <w:jc w:val="center"/>
        </w:trPr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333FF6A8" w14:textId="77777777" w:rsidR="003742F0" w:rsidRDefault="00287356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37E65A62" w14:textId="77777777" w:rsidR="003742F0" w:rsidRDefault="00287356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APRECIAÇÃO E APROVAÇÃO DE RELATÓRIOS DE PROCESSOS DE FISCALIZAÇÃO</w:t>
            </w:r>
          </w:p>
        </w:tc>
      </w:tr>
      <w:tr w:rsidR="003742F0" w:rsidRPr="0032008D" w14:paraId="5E99417C" w14:textId="77777777">
        <w:trPr>
          <w:trHeight w:val="1068"/>
          <w:jc w:val="center"/>
        </w:trPr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21117A46" w14:textId="77777777" w:rsidR="003742F0" w:rsidRDefault="00287356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DISCUSSÕES, DELIBERAÇÕES E ENCAMINHAMENTO: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368C8F92" w14:textId="77777777" w:rsidR="003742F0" w:rsidRDefault="003742F0">
            <w:pPr>
              <w:spacing w:line="276" w:lineRule="auto"/>
              <w:jc w:val="both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</w:p>
          <w:p w14:paraId="496C9A19" w14:textId="77777777" w:rsidR="003742F0" w:rsidRDefault="00287356">
            <w:pPr>
              <w:spacing w:line="276" w:lineRule="auto"/>
              <w:jc w:val="both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 xml:space="preserve">Foram 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julgados na sessão os seguintes relatórios de processos de fiscalização:</w:t>
            </w:r>
          </w:p>
          <w:p w14:paraId="6660848D" w14:textId="77777777" w:rsidR="003742F0" w:rsidRDefault="00287356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288" w:hanging="284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Apresentados pelo Conselheiro Fábio Vieira:</w:t>
            </w:r>
          </w:p>
          <w:p w14:paraId="1FC9FC67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1000065967: manter o auto e aplicar multa de 300% do valor do RRT e enviar para CED;</w:t>
            </w:r>
          </w:p>
          <w:p w14:paraId="22E4B377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 xml:space="preserve">1000076501: manter o auto e aplicar multa de 300% do 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valor do RRT e enviar para CED;</w:t>
            </w:r>
          </w:p>
          <w:p w14:paraId="3AC5B0FA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1000017517: manter o auto e aplicar multa de 8 anuidades;</w:t>
            </w:r>
          </w:p>
          <w:p w14:paraId="4D232B01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1000050595: manter o auto e aplicar multa de 3,8 anuidades;</w:t>
            </w:r>
          </w:p>
          <w:p w14:paraId="5935AA71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1000060225: manter o auto e aplicar multa de 3,2 anuidades;</w:t>
            </w:r>
          </w:p>
          <w:p w14:paraId="7AD88C29" w14:textId="77777777" w:rsidR="003742F0" w:rsidRDefault="003742F0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</w:p>
          <w:p w14:paraId="6085FC4D" w14:textId="77777777" w:rsidR="003742F0" w:rsidRDefault="00287356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288" w:hanging="284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 xml:space="preserve">Apresentados pelo Conselheiro Ariel 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Lazzarin:</w:t>
            </w:r>
          </w:p>
          <w:p w14:paraId="0F2CF61C" w14:textId="77777777" w:rsidR="003742F0" w:rsidRPr="0032008D" w:rsidRDefault="00287356" w:rsidP="0032008D">
            <w:pPr>
              <w:pStyle w:val="PargrafodaLista"/>
              <w:spacing w:line="276" w:lineRule="auto"/>
              <w:ind w:left="288"/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1000042055: manter o auto e aplicar multa de 300% do valor do RRT e enviar para CED;</w:t>
            </w:r>
          </w:p>
          <w:p w14:paraId="4AEA455F" w14:textId="77777777" w:rsidR="003742F0" w:rsidRPr="0032008D" w:rsidRDefault="00287356" w:rsidP="0032008D">
            <w:pPr>
              <w:pStyle w:val="PargrafodaLista"/>
              <w:spacing w:line="276" w:lineRule="auto"/>
              <w:ind w:left="288"/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1000056817: manter o auto e aplicar multa de 300% do valor do RRT e enviar para CED;</w:t>
            </w:r>
          </w:p>
          <w:p w14:paraId="18742601" w14:textId="77777777" w:rsidR="003742F0" w:rsidRPr="0032008D" w:rsidRDefault="00287356" w:rsidP="0032008D">
            <w:pPr>
              <w:pStyle w:val="PargrafodaLista"/>
              <w:spacing w:line="276" w:lineRule="auto"/>
              <w:ind w:left="288"/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1000060268: manter o auto e aplicar multa de 300% do valor do RRT e enviar p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ara CED;</w:t>
            </w:r>
          </w:p>
          <w:p w14:paraId="3AE2BBB2" w14:textId="77777777" w:rsidR="003742F0" w:rsidRPr="0032008D" w:rsidRDefault="00287356" w:rsidP="0032008D">
            <w:pPr>
              <w:pStyle w:val="PargrafodaLista"/>
              <w:spacing w:line="276" w:lineRule="auto"/>
              <w:ind w:left="288"/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</w:pPr>
            <w:r w:rsidRPr="0032008D">
              <w:rPr>
                <w:rFonts w:ascii="Cambria" w:eastAsia="Calibri" w:hAnsi="Cambria"/>
                <w:color w:val="000000"/>
                <w:sz w:val="20"/>
                <w:szCs w:val="20"/>
                <w:highlight w:val="yellow"/>
                <w:lang w:val="pt-BR"/>
              </w:rPr>
              <w:t>1000063707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: manter o auto e aplicar multa de 3,8 anuidades;</w:t>
            </w:r>
          </w:p>
          <w:p w14:paraId="27477282" w14:textId="77777777" w:rsidR="003742F0" w:rsidRPr="0032008D" w:rsidRDefault="00287356" w:rsidP="0032008D">
            <w:pPr>
              <w:pStyle w:val="PargrafodaLista"/>
              <w:spacing w:line="276" w:lineRule="auto"/>
              <w:ind w:left="288"/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1000070564: manter o auto e aplicar multa de 3,8 anuidades;</w:t>
            </w:r>
          </w:p>
          <w:p w14:paraId="7B00ACB4" w14:textId="77777777" w:rsidR="003742F0" w:rsidRPr="0032008D" w:rsidRDefault="00287356" w:rsidP="0032008D">
            <w:pPr>
              <w:pStyle w:val="PargrafodaLista"/>
              <w:spacing w:line="276" w:lineRule="auto"/>
              <w:ind w:left="288"/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1000081226: manter o auto e aplicar multa de 300% do valor do RRT e enviar para CED;</w:t>
            </w:r>
          </w:p>
          <w:p w14:paraId="63EE8088" w14:textId="77777777" w:rsidR="003742F0" w:rsidRPr="0032008D" w:rsidRDefault="00287356" w:rsidP="0032008D">
            <w:pPr>
              <w:pStyle w:val="PargrafodaLista"/>
              <w:spacing w:line="276" w:lineRule="auto"/>
              <w:ind w:left="288"/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 xml:space="preserve">1000086946: manter o auto e aplicar multa 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de 300% do valor do RRT e enviar para CED;</w:t>
            </w:r>
          </w:p>
          <w:p w14:paraId="4FC5C715" w14:textId="77777777" w:rsidR="003742F0" w:rsidRPr="0032008D" w:rsidRDefault="00287356" w:rsidP="0032008D">
            <w:pPr>
              <w:pStyle w:val="PargrafodaLista"/>
              <w:spacing w:line="276" w:lineRule="auto"/>
              <w:ind w:left="288"/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1000088733: manter o auto e aplicar multa de 300% do valor do RRT e enviar para CED;</w:t>
            </w:r>
          </w:p>
          <w:p w14:paraId="71735D1F" w14:textId="77777777" w:rsidR="003742F0" w:rsidRPr="0032008D" w:rsidRDefault="00287356" w:rsidP="0032008D">
            <w:pPr>
              <w:pStyle w:val="PargrafodaLista"/>
              <w:spacing w:line="276" w:lineRule="auto"/>
              <w:ind w:left="288"/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lastRenderedPageBreak/>
              <w:t>1000088788: manter o auto e aplicar multa de 300% do valor do RRT e enviar para CED;</w:t>
            </w:r>
          </w:p>
          <w:p w14:paraId="71C86F10" w14:textId="77777777" w:rsidR="003742F0" w:rsidRPr="0032008D" w:rsidRDefault="00287356" w:rsidP="0032008D">
            <w:pPr>
              <w:pStyle w:val="PargrafodaLista"/>
              <w:spacing w:line="276" w:lineRule="auto"/>
              <w:ind w:left="288"/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1000088820: manter o auto e aplicar multa d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e 300% do valor do RRT e enviar para CED;</w:t>
            </w:r>
          </w:p>
          <w:p w14:paraId="31599BF2" w14:textId="77777777" w:rsidR="003742F0" w:rsidRPr="0032008D" w:rsidRDefault="00287356" w:rsidP="0032008D">
            <w:pPr>
              <w:pStyle w:val="PargrafodaLista"/>
              <w:spacing w:line="276" w:lineRule="auto"/>
              <w:ind w:left="288"/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1000088826: arquivar o processo por motivo de falecimento.</w:t>
            </w:r>
          </w:p>
          <w:p w14:paraId="55C05261" w14:textId="77777777" w:rsidR="003742F0" w:rsidRDefault="003742F0">
            <w:pPr>
              <w:pStyle w:val="PargrafodaLista"/>
              <w:spacing w:line="276" w:lineRule="auto"/>
              <w:ind w:left="100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</w:p>
          <w:p w14:paraId="4E25274F" w14:textId="77777777" w:rsidR="003742F0" w:rsidRDefault="00287356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288" w:hanging="284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Apresentados pelo Conselhei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ro Ademir Nogueira de Ávila:</w:t>
            </w:r>
          </w:p>
          <w:p w14:paraId="0261D3E6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1000064466: manter o auto e aplicar multa de 4,4 anuidades e enviar para o Conselho Regional dos T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écnicos Industriais de Minas Gerais;</w:t>
            </w:r>
          </w:p>
          <w:p w14:paraId="7E0ADBFE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1000047945: cancelar o auto e arquivar o processo e enviar para o Conselho Regional de Engenharia e Agronomia;</w:t>
            </w:r>
          </w:p>
          <w:p w14:paraId="01A69D62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1000074071: manter o auto e aplicar multa de 3,8 anuidades;</w:t>
            </w:r>
          </w:p>
          <w:p w14:paraId="6FF0779D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1000075811: cancelar o auto e arquivar o process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o;</w:t>
            </w:r>
          </w:p>
          <w:p w14:paraId="7729B905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1000067982: manter o auto e aplicar multa de 3,8 anuidades;</w:t>
            </w:r>
          </w:p>
          <w:p w14:paraId="16ABEB48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1000081489: manter o auto e aplicar multa de 3,2 anuidades e apurar o indício de acobertamento de atividades de Arquitetura e Urbanismo;</w:t>
            </w:r>
          </w:p>
          <w:p w14:paraId="5C6DE360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1000088553: arquivar o processo;</w:t>
            </w:r>
          </w:p>
          <w:p w14:paraId="7EB8B8E1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1000077448: manter o auto e aplicar multa de 3,8 anuidades;</w:t>
            </w:r>
          </w:p>
          <w:p w14:paraId="0F999C3B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1000081727: manter o auto e aplicar multa de 3,8 anuidades;</w:t>
            </w:r>
          </w:p>
          <w:p w14:paraId="130B4D17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1000060278: manter o auto e aplicar multa de 3,8 anuidades;</w:t>
            </w:r>
          </w:p>
          <w:p w14:paraId="33993409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1000070644: manter o auto e aplicar multa de 4,4 anuidades;</w:t>
            </w:r>
          </w:p>
          <w:p w14:paraId="176E1E74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1000074325: cancelar o auto e arquivar o processo e enviar para o Conselho Regional de Engenharia e Agronomia;</w:t>
            </w:r>
          </w:p>
          <w:p w14:paraId="7693122B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1000081381: cancelar o auto e arquivar o processo</w:t>
            </w:r>
          </w:p>
          <w:p w14:paraId="032CE726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1000063613: manter o auto e aplicar multa de 3,8 anuidades;</w:t>
            </w:r>
          </w:p>
          <w:p w14:paraId="6CAC4317" w14:textId="77777777" w:rsidR="003742F0" w:rsidRDefault="00287356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1000089611: arquivar o processo;</w:t>
            </w:r>
          </w:p>
          <w:p w14:paraId="2796C298" w14:textId="77777777" w:rsidR="003742F0" w:rsidRPr="0032008D" w:rsidRDefault="00287356">
            <w:pPr>
              <w:pStyle w:val="PargrafodaLista"/>
              <w:spacing w:line="276" w:lineRule="auto"/>
              <w:ind w:left="288"/>
              <w:rPr>
                <w:lang w:val="pt-BR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  <w:t>10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  <w:t>00051628: manter o auto e aplicar multa de 1,2 anuidades;</w:t>
            </w:r>
          </w:p>
          <w:p w14:paraId="5DB407BA" w14:textId="77777777" w:rsidR="003742F0" w:rsidRDefault="003742F0">
            <w:pPr>
              <w:pStyle w:val="PargrafodaLista"/>
              <w:spacing w:line="276" w:lineRule="auto"/>
              <w:ind w:left="288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</w:p>
        </w:tc>
      </w:tr>
      <w:tr w:rsidR="003742F0" w:rsidRPr="0032008D" w14:paraId="0E49A695" w14:textId="77777777">
        <w:trPr>
          <w:trHeight w:val="70"/>
          <w:jc w:val="center"/>
        </w:trPr>
        <w:tc>
          <w:tcPr>
            <w:tcW w:w="101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7226DC" w14:textId="77777777" w:rsidR="003742F0" w:rsidRDefault="003742F0">
            <w:pPr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</w:p>
        </w:tc>
      </w:tr>
      <w:tr w:rsidR="003742F0" w14:paraId="204734DD" w14:textId="77777777">
        <w:trPr>
          <w:trHeight w:val="330"/>
          <w:jc w:val="center"/>
        </w:trPr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3A8861BE" w14:textId="77777777" w:rsidR="003742F0" w:rsidRDefault="00287356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1D1A9808" w14:textId="77777777" w:rsidR="003742F0" w:rsidRDefault="00287356">
            <w:pPr>
              <w:pStyle w:val="PargrafodaLista"/>
              <w:numPr>
                <w:ilvl w:val="0"/>
                <w:numId w:val="1"/>
              </w:numPr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OUTROS ASSUNTOS</w:t>
            </w:r>
          </w:p>
        </w:tc>
      </w:tr>
      <w:tr w:rsidR="003742F0" w:rsidRPr="0032008D" w14:paraId="4AF6B463" w14:textId="77777777">
        <w:trPr>
          <w:trHeight w:val="692"/>
          <w:jc w:val="center"/>
        </w:trPr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66C3C079" w14:textId="77777777" w:rsidR="003742F0" w:rsidRDefault="00287356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DISCUSSÕES, DELIBERAÇÕES E ENCAMINHAMENTO: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7EBBD904" w14:textId="77777777" w:rsidR="003742F0" w:rsidRDefault="003742F0">
            <w:pPr>
              <w:spacing w:line="276" w:lineRule="auto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</w:p>
          <w:p w14:paraId="07816059" w14:textId="77777777" w:rsidR="003742F0" w:rsidRDefault="00287356">
            <w:pPr>
              <w:spacing w:line="276" w:lineRule="auto"/>
              <w:jc w:val="both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  <w:bookmarkStart w:id="0" w:name="_Hlk57910159"/>
            <w:bookmarkStart w:id="1" w:name="_Hlk57910192"/>
            <w:bookmarkEnd w:id="0"/>
            <w:bookmarkEnd w:id="1"/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Deliberou-se por informar a profissional sobre a atuação da fiscalização do CAU/MG, bem como sobre o andamento do processo judicial, no qual se estabeleceu o impedimento da fiscalização dos engenheiros civis, no âmbito do projeto de arquitetura, pelo Conse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lho, além de solicitar a profissional que esclareça que tipo de projeto que ela está regularizando e quais são as exigências da prefeitura, para que possamos verificar se as atribuições da atividade são compartilhadas por arquitetos e urbanistas e outros p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pt-BR"/>
              </w:rPr>
              <w:t>rofissionais, conforme texto abaixo:</w:t>
            </w:r>
          </w:p>
          <w:p w14:paraId="0959ED68" w14:textId="77777777" w:rsidR="003742F0" w:rsidRDefault="003742F0">
            <w:pPr>
              <w:spacing w:line="276" w:lineRule="auto"/>
              <w:jc w:val="both"/>
              <w:rPr>
                <w:rFonts w:asciiTheme="majorHAnsi" w:eastAsia="Calibri" w:hAnsiTheme="majorHAnsi"/>
                <w:color w:val="000000"/>
                <w:sz w:val="20"/>
                <w:szCs w:val="20"/>
                <w:lang w:val="pt-BR"/>
              </w:rPr>
            </w:pPr>
          </w:p>
          <w:p w14:paraId="59F575AA" w14:textId="77777777" w:rsidR="003742F0" w:rsidRDefault="00287356">
            <w:pPr>
              <w:pStyle w:val="Corpodetexto"/>
              <w:spacing w:line="276" w:lineRule="auto"/>
              <w:jc w:val="both"/>
              <w:rPr>
                <w:rFonts w:asciiTheme="majorHAnsi" w:eastAsia="Calibri" w:hAnsiTheme="majorHAnsi"/>
                <w:i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i/>
                <w:iCs/>
                <w:color w:val="000000"/>
                <w:sz w:val="20"/>
                <w:szCs w:val="20"/>
                <w:lang w:val="pt-BR"/>
              </w:rPr>
              <w:t>Prezada Elisa,</w:t>
            </w:r>
          </w:p>
          <w:p w14:paraId="38AFCE27" w14:textId="77777777" w:rsidR="003742F0" w:rsidRDefault="003742F0">
            <w:pPr>
              <w:pStyle w:val="Corpodetexto"/>
              <w:spacing w:line="276" w:lineRule="auto"/>
              <w:jc w:val="both"/>
              <w:rPr>
                <w:rFonts w:asciiTheme="majorHAnsi" w:eastAsia="Calibri" w:hAnsiTheme="majorHAnsi"/>
                <w:i/>
                <w:iCs/>
                <w:color w:val="000000"/>
                <w:sz w:val="20"/>
                <w:szCs w:val="20"/>
                <w:lang w:val="pt-BR"/>
              </w:rPr>
            </w:pPr>
          </w:p>
          <w:p w14:paraId="4B848E60" w14:textId="77777777" w:rsidR="003742F0" w:rsidRDefault="00287356">
            <w:pPr>
              <w:pStyle w:val="Corpodetexto"/>
              <w:spacing w:line="276" w:lineRule="auto"/>
              <w:jc w:val="both"/>
              <w:rPr>
                <w:rFonts w:asciiTheme="majorHAnsi" w:eastAsia="Calibri" w:hAnsiTheme="majorHAnsi"/>
                <w:i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i/>
                <w:iCs/>
                <w:color w:val="000000"/>
                <w:sz w:val="20"/>
                <w:szCs w:val="20"/>
                <w:lang w:val="pt-BR"/>
              </w:rPr>
              <w:t>Vimos por meio deste esclarecer que a Fiscalização do CAU/MG realizou diversas ações ao longo dos últimos 3 anos, de modo, em 2020, priorizamos ações de fiscalização para coibir o exercício ilegal, como atuação de profissionais com registro suspenso, pesso</w:t>
            </w:r>
            <w:r>
              <w:rPr>
                <w:rFonts w:ascii="Cambria" w:eastAsia="Calibri" w:hAnsi="Cambria"/>
                <w:i/>
                <w:iCs/>
                <w:color w:val="000000"/>
                <w:sz w:val="20"/>
                <w:szCs w:val="20"/>
                <w:lang w:val="pt-BR"/>
              </w:rPr>
              <w:t>as jurídicas com registro na Junta Comercial do Estado de Minas Gerais (JUCEMG), ou que se apresentam como prestadoras de serviços de Arquitetura e Urbanismo, mas sem registro no CAU, além pessoas físicas e pessoas jurídicas que chegaram a solicitar regist</w:t>
            </w:r>
            <w:r>
              <w:rPr>
                <w:rFonts w:ascii="Cambria" w:eastAsia="Calibri" w:hAnsi="Cambria"/>
                <w:i/>
                <w:iCs/>
                <w:color w:val="000000"/>
                <w:sz w:val="20"/>
                <w:szCs w:val="20"/>
                <w:lang w:val="pt-BR"/>
              </w:rPr>
              <w:t>ro no CAU, contudo, não concluíram tais processos administrativos e que atuavam e/ou apresentavam-se como prestadores de serviços de Arquitetura e Urbanismo. Tais ações de fiscalização foram registradas em 5.364 Relatórios de Fiscalização.</w:t>
            </w:r>
          </w:p>
          <w:p w14:paraId="3756DB68" w14:textId="77777777" w:rsidR="003742F0" w:rsidRDefault="003742F0">
            <w:pPr>
              <w:pStyle w:val="Corpodetexto"/>
              <w:spacing w:line="276" w:lineRule="auto"/>
              <w:jc w:val="both"/>
              <w:rPr>
                <w:rFonts w:asciiTheme="majorHAnsi" w:eastAsia="Calibri" w:hAnsiTheme="majorHAnsi"/>
                <w:i/>
                <w:iCs/>
                <w:color w:val="000000"/>
                <w:sz w:val="20"/>
                <w:szCs w:val="20"/>
                <w:lang w:val="pt-BR"/>
              </w:rPr>
            </w:pPr>
          </w:p>
          <w:p w14:paraId="1A2BF927" w14:textId="77777777" w:rsidR="003742F0" w:rsidRDefault="00287356">
            <w:pPr>
              <w:pStyle w:val="Corpodetexto"/>
              <w:spacing w:line="276" w:lineRule="auto"/>
              <w:jc w:val="both"/>
              <w:rPr>
                <w:rFonts w:asciiTheme="majorHAnsi" w:eastAsia="Calibri" w:hAnsiTheme="majorHAnsi"/>
                <w:i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i/>
                <w:iCs/>
                <w:color w:val="000000"/>
                <w:sz w:val="20"/>
                <w:szCs w:val="20"/>
                <w:lang w:val="pt-BR"/>
              </w:rPr>
              <w:t>O Projeto ROTAS</w:t>
            </w:r>
            <w:r>
              <w:rPr>
                <w:rFonts w:ascii="Cambria" w:eastAsia="Calibri" w:hAnsi="Cambria"/>
                <w:i/>
                <w:iCs/>
                <w:color w:val="000000"/>
                <w:sz w:val="20"/>
                <w:szCs w:val="20"/>
                <w:lang w:val="pt-BR"/>
              </w:rPr>
              <w:t xml:space="preserve"> consolidou-se como a principal entre 2018 e 2019, contudo, também se realizou ações de rotina para coibir o exercício irregular da profissão, como a verificação de emissão de Registro de Responsabilidade Técnica (RRT) pelos profissionais de Arquitetura e </w:t>
            </w:r>
            <w:r>
              <w:rPr>
                <w:rFonts w:ascii="Cambria" w:eastAsia="Calibri" w:hAnsi="Cambria"/>
                <w:i/>
                <w:iCs/>
                <w:color w:val="000000"/>
                <w:sz w:val="20"/>
                <w:szCs w:val="20"/>
                <w:lang w:val="pt-BR"/>
              </w:rPr>
              <w:lastRenderedPageBreak/>
              <w:t>Urbanismo em processos administrativos para obtenção de alvará de construção junto à Prefeitura Municipal de Belo Horizonte, bem como a regularização de registros de pessoas jurídicas sem responsável técnico.</w:t>
            </w:r>
          </w:p>
          <w:p w14:paraId="240214E0" w14:textId="77777777" w:rsidR="003742F0" w:rsidRDefault="003742F0">
            <w:pPr>
              <w:pStyle w:val="Corpodetexto"/>
              <w:spacing w:line="276" w:lineRule="auto"/>
              <w:jc w:val="both"/>
              <w:rPr>
                <w:rFonts w:asciiTheme="majorHAnsi" w:eastAsia="Calibri" w:hAnsiTheme="majorHAnsi"/>
                <w:i/>
                <w:iCs/>
                <w:color w:val="000000"/>
                <w:sz w:val="20"/>
                <w:szCs w:val="20"/>
                <w:lang w:val="pt-BR"/>
              </w:rPr>
            </w:pPr>
          </w:p>
          <w:p w14:paraId="7EE7A8B1" w14:textId="77777777" w:rsidR="003742F0" w:rsidRDefault="00287356">
            <w:pPr>
              <w:pStyle w:val="Corpodetexto"/>
              <w:widowControl/>
              <w:spacing w:after="283" w:line="276" w:lineRule="auto"/>
              <w:jc w:val="both"/>
              <w:rPr>
                <w:rFonts w:asciiTheme="majorHAnsi" w:eastAsia="Calibri" w:hAnsiTheme="majorHAnsi"/>
                <w:i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i/>
                <w:iCs/>
                <w:color w:val="000000"/>
                <w:sz w:val="20"/>
                <w:szCs w:val="20"/>
                <w:lang w:val="pt-BR"/>
              </w:rPr>
              <w:t>Com relação à elaboração de projeto arquitetônico, a Resolução CAU/BR nº 51/2013, na qual foram estabelecidas as áreas de atuação privativa de arquitetos e urbanistas, é objeto de Ação Civil Pública N° 0056507-71.2014.4.01.3800, na qual é discutida a sua v</w:t>
            </w:r>
            <w:r>
              <w:rPr>
                <w:rFonts w:ascii="Cambria" w:eastAsia="Calibri" w:hAnsi="Cambria"/>
                <w:i/>
                <w:iCs/>
                <w:color w:val="000000"/>
                <w:sz w:val="20"/>
                <w:szCs w:val="20"/>
                <w:lang w:val="pt-BR"/>
              </w:rPr>
              <w:t xml:space="preserve">alidade no âmbito de Minas Gerais. </w:t>
            </w:r>
          </w:p>
          <w:p w14:paraId="183F8DE8" w14:textId="77777777" w:rsidR="003742F0" w:rsidRDefault="00287356">
            <w:pPr>
              <w:pStyle w:val="Corpodetexto"/>
              <w:widowControl/>
              <w:spacing w:after="283" w:line="276" w:lineRule="auto"/>
              <w:jc w:val="both"/>
              <w:rPr>
                <w:rFonts w:asciiTheme="majorHAnsi" w:eastAsia="Calibri" w:hAnsiTheme="majorHAnsi"/>
                <w:i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i/>
                <w:iCs/>
                <w:color w:val="000000"/>
                <w:sz w:val="20"/>
                <w:szCs w:val="20"/>
                <w:lang w:val="pt-BR"/>
              </w:rPr>
              <w:t>Em 02/07/2019, 2019 foi publicada a sentença, na qual determinou-se que a Resolução CAU/BR nº 51/2013 deve ser aplicada apenas aos arquitetos e urbanistas vinculados ao CAU/BR, aplicando-se aos profissionais vinculados a</w:t>
            </w:r>
            <w:r>
              <w:rPr>
                <w:rFonts w:ascii="Cambria" w:eastAsia="Calibri" w:hAnsi="Cambria"/>
                <w:i/>
                <w:iCs/>
                <w:color w:val="000000"/>
                <w:sz w:val="20"/>
                <w:szCs w:val="20"/>
                <w:lang w:val="pt-BR"/>
              </w:rPr>
              <w:t>o CREA/MG, no Estado de Minas Gerais, em especial aos engenheiros civis, a Lei nº 5.194/66, os Decretos nº 23.569/33 e nº 23.196/33, além da Resolução nº 218/1973, do CONFEA, sem prejuízo da ação fiscalizadora do CAU quanto ao exercício das atividades de a</w:t>
            </w:r>
            <w:r>
              <w:rPr>
                <w:rFonts w:ascii="Cambria" w:eastAsia="Calibri" w:hAnsi="Cambria"/>
                <w:i/>
                <w:iCs/>
                <w:color w:val="000000"/>
                <w:sz w:val="20"/>
                <w:szCs w:val="20"/>
                <w:lang w:val="pt-BR"/>
              </w:rPr>
              <w:t xml:space="preserve">rquitetura e urbanismo. </w:t>
            </w:r>
          </w:p>
          <w:p w14:paraId="5933BDA5" w14:textId="77777777" w:rsidR="003742F0" w:rsidRDefault="00287356">
            <w:pPr>
              <w:pStyle w:val="Corpodetexto"/>
              <w:widowControl/>
              <w:spacing w:after="283" w:line="276" w:lineRule="auto"/>
              <w:jc w:val="both"/>
              <w:rPr>
                <w:rFonts w:asciiTheme="majorHAnsi" w:eastAsia="Calibri" w:hAnsiTheme="majorHAnsi"/>
                <w:i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i/>
                <w:iCs/>
                <w:color w:val="000000"/>
                <w:sz w:val="20"/>
                <w:szCs w:val="20"/>
                <w:lang w:val="pt-BR"/>
              </w:rPr>
              <w:t xml:space="preserve">A sentença também não foi transitada em julgado, e ainda é passível de vários recursos para as instâncias superiores, desta forma, a Gerência Jurídica do CAU/MG está estudando e tomando as medidas judiciais cabíveis. </w:t>
            </w:r>
          </w:p>
          <w:p w14:paraId="30FF3DE8" w14:textId="77777777" w:rsidR="003742F0" w:rsidRPr="0032008D" w:rsidRDefault="00287356">
            <w:pPr>
              <w:pStyle w:val="Corpodetexto"/>
              <w:widowControl/>
              <w:spacing w:after="283" w:line="276" w:lineRule="auto"/>
              <w:jc w:val="both"/>
              <w:rPr>
                <w:i/>
                <w:lang w:val="pt-BR"/>
              </w:rPr>
            </w:pPr>
            <w:r>
              <w:rPr>
                <w:rFonts w:asciiTheme="majorHAnsi" w:eastAsia="Calibri" w:hAnsiTheme="majorHAnsi"/>
                <w:i/>
                <w:iCs/>
                <w:color w:val="000000"/>
                <w:sz w:val="20"/>
                <w:szCs w:val="20"/>
                <w:lang w:val="pt-BR"/>
              </w:rPr>
              <w:t>Além disso, g</w:t>
            </w:r>
            <w:r>
              <w:rPr>
                <w:rFonts w:asciiTheme="majorHAnsi" w:eastAsia="Calibri" w:hAnsiTheme="majorHAnsi"/>
                <w:i/>
                <w:iCs/>
                <w:color w:val="000000"/>
                <w:sz w:val="20"/>
                <w:szCs w:val="20"/>
                <w:lang w:val="pt-BR"/>
              </w:rPr>
              <w:t>ostaríamos de solicitar que esclarecesse qual tipo de regularização e quais são as exigências da prefeitura, para que possamos verificar se as atribuições da atividade são compartilhadas por arquitetos e urbanistas e outros profissionais.</w:t>
            </w:r>
          </w:p>
        </w:tc>
      </w:tr>
    </w:tbl>
    <w:p w14:paraId="75732243" w14:textId="77777777" w:rsidR="003742F0" w:rsidRDefault="003742F0">
      <w:pPr>
        <w:rPr>
          <w:sz w:val="10"/>
          <w:szCs w:val="10"/>
          <w:lang w:val="pt-BR"/>
        </w:rPr>
      </w:pPr>
    </w:p>
    <w:tbl>
      <w:tblPr>
        <w:tblStyle w:val="Tabelacomgrelh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95"/>
        <w:gridCol w:w="5906"/>
      </w:tblGrid>
      <w:tr w:rsidR="003742F0" w:rsidRPr="0032008D" w14:paraId="72960496" w14:textId="77777777">
        <w:trPr>
          <w:trHeight w:val="539"/>
          <w:jc w:val="center"/>
        </w:trPr>
        <w:tc>
          <w:tcPr>
            <w:tcW w:w="10200" w:type="dxa"/>
            <w:gridSpan w:val="2"/>
            <w:shd w:val="clear" w:color="auto" w:fill="D9D9D9" w:themeFill="background1" w:themeFillShade="D9"/>
            <w:vAlign w:val="center"/>
          </w:tcPr>
          <w:p w14:paraId="5CF65E8C" w14:textId="77777777" w:rsidR="003742F0" w:rsidRPr="0032008D" w:rsidRDefault="00287356">
            <w:pPr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  <w:lang w:val="pt-BR"/>
              </w:rPr>
              <w:t>COMISSÃO DE EXE</w:t>
            </w:r>
            <w:r>
              <w:rPr>
                <w:rFonts w:asciiTheme="majorHAnsi" w:eastAsia="Calibri" w:hAnsiTheme="majorHAnsi" w:cs="Times New Roman"/>
                <w:b/>
                <w:szCs w:val="20"/>
                <w:lang w:val="pt-BR"/>
              </w:rPr>
              <w:t>RCÍCIO PROFISSIONAL DO CAU/MG</w:t>
            </w:r>
          </w:p>
        </w:tc>
      </w:tr>
      <w:tr w:rsidR="003742F0" w14:paraId="77DF139A" w14:textId="77777777">
        <w:trPr>
          <w:trHeight w:val="539"/>
          <w:jc w:val="center"/>
        </w:trPr>
        <w:tc>
          <w:tcPr>
            <w:tcW w:w="4295" w:type="dxa"/>
            <w:shd w:val="clear" w:color="auto" w:fill="auto"/>
            <w:vAlign w:val="center"/>
          </w:tcPr>
          <w:p w14:paraId="003AE5A2" w14:textId="77777777" w:rsidR="003742F0" w:rsidRDefault="0028735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6E882422" w14:textId="77777777" w:rsidR="003742F0" w:rsidRDefault="0028735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ASSINATURA</w:t>
            </w:r>
          </w:p>
        </w:tc>
      </w:tr>
      <w:tr w:rsidR="003742F0" w:rsidRPr="0032008D" w14:paraId="397F3B93" w14:textId="77777777">
        <w:trPr>
          <w:trHeight w:val="539"/>
          <w:jc w:val="center"/>
        </w:trPr>
        <w:tc>
          <w:tcPr>
            <w:tcW w:w="4295" w:type="dxa"/>
            <w:shd w:val="clear" w:color="auto" w:fill="auto"/>
            <w:vAlign w:val="center"/>
          </w:tcPr>
          <w:p w14:paraId="43FFEEB6" w14:textId="77777777" w:rsidR="003742F0" w:rsidRPr="0032008D" w:rsidRDefault="00287356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1"/>
                <w:lang w:val="pt-BR"/>
              </w:rPr>
              <w:t>Ademir Nogueira de Ávila</w:t>
            </w:r>
            <w:r>
              <w:rPr>
                <w:rFonts w:asciiTheme="majorHAnsi" w:eastAsia="Calibri" w:hAnsiTheme="majorHAnsi" w:cs="Times New Roman"/>
                <w:sz w:val="18"/>
                <w:szCs w:val="21"/>
                <w:lang w:val="pt-BR"/>
              </w:rPr>
              <w:t xml:space="preserve"> - </w:t>
            </w:r>
            <w:r>
              <w:rPr>
                <w:rFonts w:asciiTheme="majorHAnsi" w:eastAsia="Calibri" w:hAnsiTheme="majorHAnsi" w:cs="Times New Roman"/>
                <w:i/>
                <w:sz w:val="18"/>
                <w:szCs w:val="21"/>
                <w:lang w:val="pt-BR"/>
              </w:rPr>
              <w:t>Coordenador</w:t>
            </w:r>
          </w:p>
          <w:p w14:paraId="4C758805" w14:textId="77777777" w:rsidR="003742F0" w:rsidRPr="0032008D" w:rsidRDefault="00287356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  <w:lang w:val="pt-BR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  <w:lang w:val="pt-BR"/>
              </w:rPr>
              <w:t></w:t>
            </w:r>
            <w:r>
              <w:rPr>
                <w:rFonts w:asciiTheme="majorHAnsi" w:eastAsia="Calibri" w:hAnsiTheme="majorHAnsi" w:cs="Times New Roman"/>
                <w:sz w:val="18"/>
                <w:szCs w:val="17"/>
                <w:lang w:val="pt-BR"/>
              </w:rPr>
              <w:t xml:space="preserve"> [</w:t>
            </w:r>
            <w:r>
              <w:rPr>
                <w:rFonts w:asciiTheme="majorHAnsi" w:eastAsia="Calibri" w:hAnsiTheme="majorHAnsi" w:cs="Times New Roman"/>
                <w:i/>
                <w:sz w:val="18"/>
                <w:szCs w:val="17"/>
                <w:lang w:val="pt-BR"/>
              </w:rPr>
              <w:t>vago</w:t>
            </w:r>
            <w:r>
              <w:rPr>
                <w:rFonts w:asciiTheme="majorHAnsi" w:eastAsia="Calibri" w:hAnsiTheme="majorHAnsi" w:cs="Times New Roman"/>
                <w:sz w:val="18"/>
                <w:szCs w:val="17"/>
                <w:lang w:val="pt-BR"/>
              </w:rPr>
              <w:t>]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53F001BB" w14:textId="77777777" w:rsidR="003742F0" w:rsidRPr="0032008D" w:rsidRDefault="003742F0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3742F0" w:rsidRPr="0032008D" w14:paraId="645B2071" w14:textId="77777777">
        <w:trPr>
          <w:trHeight w:val="539"/>
          <w:jc w:val="center"/>
        </w:trPr>
        <w:tc>
          <w:tcPr>
            <w:tcW w:w="4295" w:type="dxa"/>
            <w:shd w:val="clear" w:color="auto" w:fill="auto"/>
            <w:vAlign w:val="center"/>
          </w:tcPr>
          <w:p w14:paraId="611D4BAB" w14:textId="77777777" w:rsidR="003742F0" w:rsidRDefault="00287356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eastAsia="Calibri" w:hAnsiTheme="majorHAnsi" w:cs="Times New Roman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asciiTheme="majorHAnsi" w:eastAsia="Calibri" w:hAnsiTheme="majorHAnsi" w:cs="Times New Roman"/>
                <w:i/>
                <w:sz w:val="18"/>
                <w:szCs w:val="18"/>
                <w:lang w:val="pt-BR"/>
              </w:rPr>
              <w:t>Coord. Adjunta</w:t>
            </w:r>
          </w:p>
          <w:p w14:paraId="3BECD416" w14:textId="77777777" w:rsidR="003742F0" w:rsidRPr="0032008D" w:rsidRDefault="00287356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  <w:lang w:val="pt-BR"/>
              </w:rPr>
              <w:t></w:t>
            </w:r>
            <w:r>
              <w:rPr>
                <w:rFonts w:asciiTheme="majorHAnsi" w:eastAsia="Calibri" w:hAnsiTheme="majorHAnsi" w:cs="Times New Roman"/>
                <w:sz w:val="18"/>
                <w:szCs w:val="17"/>
                <w:lang w:val="pt-BR"/>
              </w:rPr>
              <w:t xml:space="preserve"> Patricia Elizabeth Ferreira Gomes Barbosa (S)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0791183A" w14:textId="77777777" w:rsidR="003742F0" w:rsidRPr="0032008D" w:rsidRDefault="003742F0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3742F0" w:rsidRPr="0032008D" w14:paraId="075EB030" w14:textId="77777777">
        <w:trPr>
          <w:trHeight w:val="539"/>
          <w:jc w:val="center"/>
        </w:trPr>
        <w:tc>
          <w:tcPr>
            <w:tcW w:w="4295" w:type="dxa"/>
            <w:shd w:val="clear" w:color="auto" w:fill="auto"/>
            <w:vAlign w:val="center"/>
          </w:tcPr>
          <w:p w14:paraId="16F871CF" w14:textId="77777777" w:rsidR="003742F0" w:rsidRPr="0032008D" w:rsidRDefault="00287356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Lazzarin</w:t>
            </w:r>
          </w:p>
          <w:p w14:paraId="5432D51C" w14:textId="77777777" w:rsidR="003742F0" w:rsidRPr="0032008D" w:rsidRDefault="00287356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  <w:lang w:val="pt-BR"/>
              </w:rPr>
              <w:t></w:t>
            </w:r>
            <w:r>
              <w:rPr>
                <w:rFonts w:asciiTheme="majorHAnsi" w:eastAsia="Calibri" w:hAnsiTheme="majorHAnsi" w:cs="Times New Roman"/>
                <w:sz w:val="19"/>
                <w:szCs w:val="19"/>
                <w:lang w:val="pt-BR"/>
              </w:rPr>
              <w:t xml:space="preserve"> Marcondes Nunes de </w:t>
            </w:r>
            <w:r>
              <w:rPr>
                <w:rFonts w:asciiTheme="majorHAnsi" w:eastAsia="Calibri" w:hAnsiTheme="majorHAnsi" w:cs="Times New Roman"/>
                <w:sz w:val="19"/>
                <w:szCs w:val="19"/>
                <w:lang w:val="pt-BR"/>
              </w:rPr>
              <w:t>Freitas (S)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3D2674E1" w14:textId="77777777" w:rsidR="003742F0" w:rsidRPr="0032008D" w:rsidRDefault="003742F0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3742F0" w:rsidRPr="0032008D" w14:paraId="3EF885F5" w14:textId="77777777">
        <w:trPr>
          <w:trHeight w:val="539"/>
          <w:jc w:val="center"/>
        </w:trPr>
        <w:tc>
          <w:tcPr>
            <w:tcW w:w="4295" w:type="dxa"/>
            <w:shd w:val="clear" w:color="auto" w:fill="auto"/>
            <w:vAlign w:val="center"/>
          </w:tcPr>
          <w:p w14:paraId="5699C9BF" w14:textId="77777777" w:rsidR="003742F0" w:rsidRPr="0032008D" w:rsidRDefault="00287356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1"/>
                <w:lang w:val="pt-BR"/>
              </w:rPr>
              <w:t>Fábio Almeida Vieira</w:t>
            </w:r>
          </w:p>
          <w:p w14:paraId="64DD99F3" w14:textId="77777777" w:rsidR="003742F0" w:rsidRPr="0032008D" w:rsidRDefault="00287356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  <w:lang w:val="pt-BR"/>
              </w:rPr>
              <w:t></w:t>
            </w:r>
            <w:r>
              <w:rPr>
                <w:rFonts w:asciiTheme="majorHAnsi" w:eastAsia="Calibri" w:hAnsiTheme="majorHAnsi" w:cs="Times New Roman"/>
                <w:sz w:val="18"/>
                <w:szCs w:val="17"/>
                <w:lang w:val="pt-BR"/>
              </w:rPr>
              <w:t xml:space="preserve"> Regina </w:t>
            </w:r>
            <w:proofErr w:type="spellStart"/>
            <w:r>
              <w:rPr>
                <w:rFonts w:asciiTheme="majorHAnsi" w:eastAsia="Calibri" w:hAnsiTheme="majorHAnsi" w:cs="Times New Roman"/>
                <w:sz w:val="18"/>
                <w:szCs w:val="17"/>
                <w:lang w:val="pt-BR"/>
              </w:rPr>
              <w:t>Coeli</w:t>
            </w:r>
            <w:proofErr w:type="spellEnd"/>
            <w:r>
              <w:rPr>
                <w:rFonts w:asciiTheme="majorHAnsi" w:eastAsia="Calibri" w:hAnsiTheme="majorHAnsi" w:cs="Times New Roman"/>
                <w:sz w:val="18"/>
                <w:szCs w:val="17"/>
                <w:lang w:val="pt-BR"/>
              </w:rPr>
              <w:t xml:space="preserve"> Gouveia Varella (S)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2467D8E5" w14:textId="77777777" w:rsidR="003742F0" w:rsidRPr="0032008D" w:rsidRDefault="003742F0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14:paraId="5F37EDC1" w14:textId="77777777" w:rsidR="003742F0" w:rsidRDefault="003742F0">
      <w:pPr>
        <w:rPr>
          <w:sz w:val="2"/>
          <w:szCs w:val="2"/>
          <w:lang w:val="pt-BR"/>
        </w:rPr>
      </w:pPr>
    </w:p>
    <w:sectPr w:rsidR="003742F0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81EB7" w14:textId="77777777" w:rsidR="00287356" w:rsidRDefault="00287356">
      <w:r>
        <w:separator/>
      </w:r>
    </w:p>
  </w:endnote>
  <w:endnote w:type="continuationSeparator" w:id="0">
    <w:p w14:paraId="5ED20096" w14:textId="77777777" w:rsidR="00287356" w:rsidRDefault="0028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4104" w14:textId="77777777" w:rsidR="003742F0" w:rsidRDefault="00287356">
    <w:pPr>
      <w:pStyle w:val="Rodap"/>
      <w:jc w:val="right"/>
    </w:pPr>
    <w:r>
      <w:rPr>
        <w:noProof/>
      </w:rPr>
      <w:drawing>
        <wp:anchor distT="0" distB="0" distL="0" distR="0" simplePos="0" relativeHeight="7" behindDoc="1" locked="0" layoutInCell="0" allowOverlap="1" wp14:anchorId="781DBC77" wp14:editId="27D415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39C7" w14:textId="77777777" w:rsidR="00287356" w:rsidRDefault="00287356">
      <w:r>
        <w:separator/>
      </w:r>
    </w:p>
  </w:footnote>
  <w:footnote w:type="continuationSeparator" w:id="0">
    <w:p w14:paraId="53051056" w14:textId="77777777" w:rsidR="00287356" w:rsidRDefault="0028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DABC" w14:textId="77777777" w:rsidR="003742F0" w:rsidRDefault="00287356">
    <w:pPr>
      <w:pStyle w:val="Cabealho"/>
    </w:pPr>
    <w:r>
      <w:rPr>
        <w:noProof/>
      </w:rPr>
      <w:drawing>
        <wp:anchor distT="0" distB="0" distL="0" distR="0" simplePos="0" relativeHeight="4" behindDoc="1" locked="0" layoutInCell="0" allowOverlap="1" wp14:anchorId="424B2C4E" wp14:editId="58EF8713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286A"/>
    <w:multiLevelType w:val="multilevel"/>
    <w:tmpl w:val="52E8F0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A06571"/>
    <w:multiLevelType w:val="multilevel"/>
    <w:tmpl w:val="DFAC5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24894417"/>
    <w:multiLevelType w:val="multilevel"/>
    <w:tmpl w:val="F39C46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259E5412"/>
    <w:multiLevelType w:val="multilevel"/>
    <w:tmpl w:val="086098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F0"/>
    <w:rsid w:val="00287356"/>
    <w:rsid w:val="0032008D"/>
    <w:rsid w:val="0037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ECBB"/>
  <w15:docId w15:val="{137AD638-944F-43CF-89B0-CC716011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D0A3-EC47-472F-8F47-50D5EBF0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3</Pages>
  <Words>1101</Words>
  <Characters>5947</Characters>
  <Application>Microsoft Office Word</Application>
  <DocSecurity>0</DocSecurity>
  <Lines>49</Lines>
  <Paragraphs>14</Paragraphs>
  <ScaleCrop>false</ScaleCrop>
  <Company>Microsoft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Exercicio Profissional - CAU/MG</cp:lastModifiedBy>
  <cp:revision>135</cp:revision>
  <cp:lastPrinted>2017-05-11T17:11:00Z</cp:lastPrinted>
  <dcterms:created xsi:type="dcterms:W3CDTF">2019-10-15T16:40:00Z</dcterms:created>
  <dcterms:modified xsi:type="dcterms:W3CDTF">2021-01-21T17:36:00Z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