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C04A13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CEE05C2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CAU/BR </w:t>
            </w:r>
            <w:r w:rsidR="00C769F6">
              <w:rPr>
                <w:rFonts w:asciiTheme="majorHAnsi" w:hAnsiTheme="majorHAnsi" w:cs="Times New Roman"/>
                <w:sz w:val="21"/>
                <w:szCs w:val="21"/>
              </w:rPr>
              <w:t>22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945CFB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</w:tr>
      <w:tr w:rsidR="00113CE6" w:rsidRPr="00C04A13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13AD6DC3" w14:textId="39D15C86" w:rsidR="00B8018D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2FD75054" w14:textId="5E94348C" w:rsidR="00C769F6" w:rsidRPr="00F14178" w:rsidRDefault="00C769F6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Técnica e de Fiscalização do CAU/MG;</w:t>
            </w:r>
          </w:p>
          <w:p w14:paraId="36332165" w14:textId="76B0B5D9" w:rsidR="00B8018D" w:rsidRPr="00F14178" w:rsidRDefault="00C769F6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Coordenadoria de Fiscalização do CAU/MG,</w:t>
            </w:r>
          </w:p>
        </w:tc>
      </w:tr>
      <w:tr w:rsidR="00113CE6" w:rsidRPr="00C04A13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6FFD550" w:rsidR="00113CE6" w:rsidRPr="00F14178" w:rsidRDefault="00945CFB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INSERÇÃO DE CNAES EM REGISTRO DE EMPRESAS</w:t>
            </w:r>
          </w:p>
        </w:tc>
      </w:tr>
      <w:tr w:rsidR="00113CE6" w:rsidRPr="00C04A1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04A1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A982F2E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C769F6">
              <w:rPr>
                <w:rFonts w:asciiTheme="majorHAnsi" w:hAnsiTheme="majorHAnsi" w:cs="Times New Roman"/>
                <w:b/>
                <w:sz w:val="24"/>
                <w:szCs w:val="24"/>
              </w:rPr>
              <w:t>8.2.1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B144D3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3722BC1A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C769F6">
        <w:rPr>
          <w:rFonts w:asciiTheme="majorHAnsi" w:hAnsiTheme="majorHAnsi" w:cs="Times New Roman"/>
          <w:lang w:val="pt-BR"/>
        </w:rPr>
        <w:t>17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C769F6">
        <w:rPr>
          <w:rFonts w:asciiTheme="majorHAnsi" w:hAnsiTheme="majorHAnsi" w:cs="Times New Roman"/>
          <w:lang w:val="pt-BR"/>
        </w:rPr>
        <w:t>novembro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Pr="00D317F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DFB2BB8" w14:textId="77777777" w:rsidR="00C769F6" w:rsidRPr="00987F6D" w:rsidRDefault="00C769F6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17C9077D" w14:textId="77777777" w:rsidR="00C769F6" w:rsidRPr="00987F6D" w:rsidRDefault="00C769F6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631117E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378C265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7AC6A2A9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315B24E8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10A3A755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7157338E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3961B9F5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a) fiscalização;</w:t>
      </w:r>
    </w:p>
    <w:p w14:paraId="7527D114" w14:textId="77777777" w:rsidR="00C769F6" w:rsidRPr="00D317F8" w:rsidRDefault="00C769F6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38CEDBF" w14:textId="77777777" w:rsidR="00C769F6" w:rsidRPr="00987F6D" w:rsidRDefault="00C769F6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>Considerando o versado na Lei Federal 12.378/2010:</w:t>
      </w:r>
    </w:p>
    <w:p w14:paraId="39756B34" w14:textId="4BB804E5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Art. 7º. Exerce ilegalmente a profissão de arquiteto e urbanista a pessoa física ou jurídica que realizar atos ou prestar serviços, públicos ou privados, privativos dos profissionais de que trata esta Lei ou, ainda, que,</w:t>
      </w:r>
    </w:p>
    <w:p w14:paraId="36F17A48" w14:textId="05DEEA7B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mesmo não realizando atos privativos, se apresenta como arquiteto e urbanista ou como pessoa jurídica que atue na área de arquitetura e urbanismo sem registro no CAU.</w:t>
      </w:r>
    </w:p>
    <w:p w14:paraId="3E19FBD5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20896712" w14:textId="39B70A7C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34. Compete aos </w:t>
      </w:r>
      <w:proofErr w:type="spellStart"/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5243D73C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0FA4ED65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II - cumprir e fazer cumprir o disposto nesta Lei, no Regimento Geral do CAU/BR, nos demais atos normativos do CAU/BR e nos próprios atos, no âmbito de sua competência;</w:t>
      </w:r>
    </w:p>
    <w:p w14:paraId="4533F1F1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74D57181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VIII - fiscalizar o exercício das atividades profissionais de arquitetura e urbanismo;</w:t>
      </w:r>
    </w:p>
    <w:p w14:paraId="6DC86674" w14:textId="77777777" w:rsidR="00945CFB" w:rsidRPr="00D317F8" w:rsidRDefault="00945CF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715FB31" w14:textId="4146D8BC" w:rsidR="00C769F6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>C</w:t>
      </w:r>
      <w:r w:rsidR="00B8018D" w:rsidRPr="00D8166B">
        <w:rPr>
          <w:rFonts w:asciiTheme="majorHAnsi" w:hAnsiTheme="majorHAnsi" w:cs="Times New Roman"/>
          <w:lang w:val="pt-BR"/>
        </w:rPr>
        <w:t xml:space="preserve">onsiderando </w:t>
      </w:r>
      <w:r w:rsidR="00945CFB">
        <w:rPr>
          <w:rFonts w:asciiTheme="majorHAnsi" w:hAnsiTheme="majorHAnsi" w:cs="Times New Roman"/>
          <w:lang w:val="pt-BR"/>
        </w:rPr>
        <w:t xml:space="preserve">a </w:t>
      </w:r>
      <w:r w:rsidR="00C769F6">
        <w:rPr>
          <w:rFonts w:asciiTheme="majorHAnsi" w:hAnsiTheme="majorHAnsi" w:cs="Times New Roman"/>
          <w:lang w:val="pt-BR"/>
        </w:rPr>
        <w:t>Resolução CAU/BR 22/2012:</w:t>
      </w:r>
    </w:p>
    <w:p w14:paraId="3905B9C4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Art. 4° O objeto da fiscalização é a exação do exercício profissional da Arquitetura e Urbanismo abrangendo as atividades, atribuições e campos de atuação dos arquitetos e urbanistas, privativos ou compartilhados com outras profissões regulamentadas, conforme os dispositivos da Lei n° 12.378, de 2010 e da Resolução CAU/BR n° 21, de 2012.</w:t>
      </w:r>
    </w:p>
    <w:p w14:paraId="0D7B05F9" w14:textId="0A3054DF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Art. 5° O objetivo da fiscalização de que trata esta Resolução é coibir o exercício ilegal ou irregular da Arquitetura e Urbanismo, em conformidade com a legislação vigente.</w:t>
      </w:r>
    </w:p>
    <w:p w14:paraId="7B34ACAD" w14:textId="6F353A32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2FB55559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lastRenderedPageBreak/>
        <w:t>Art. 34. Sem prejuízo de outras sanções disciplinares previstas no art. 19 da Lei n° 12.378, de 2010, quando cabíveis, os CAU/UF aplicarão às pessoas físicas ou jurídicas autuadas por infração à legislação profissional multas com base nos valores estabelecidos no artigo seguinte.</w:t>
      </w:r>
    </w:p>
    <w:p w14:paraId="68067803" w14:textId="146AB298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Art. 35. As infrações ao exercício da profissão de Arquitetura e Urbanismo nos termos definidos nesta Resolução serão punidas com multas, respeitados os seguintes limites:</w:t>
      </w:r>
    </w:p>
    <w:p w14:paraId="5C522C09" w14:textId="7414CCC3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79544A7C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X - Pessoa jurídica sem registro no CAU exercendo atividade privativa de arquitetos e urbanistas;</w:t>
      </w:r>
    </w:p>
    <w:p w14:paraId="31BA8317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Infrator: pessoa jurídica;</w:t>
      </w:r>
    </w:p>
    <w:p w14:paraId="5B43CF90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Valor da Multa: mínimo de 5 (cinco) vezes e máximo de 10 (dez) vezes o valor vigente da anuidade;</w:t>
      </w:r>
    </w:p>
    <w:p w14:paraId="537EA8B8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XI - Pessoa jurídica sem registro no CAU e no CREA exercendo atividade compartilhada entre a Arquitetura e Urbanismo e profissão fiscalizada por este último conselho;</w:t>
      </w:r>
    </w:p>
    <w:p w14:paraId="3D1B79C7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Infrator: pessoa jurídica;</w:t>
      </w:r>
    </w:p>
    <w:p w14:paraId="621BA673" w14:textId="77777777" w:rsidR="00C769F6" w:rsidRPr="00D317F8" w:rsidRDefault="00C769F6" w:rsidP="00C769F6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317F8">
        <w:rPr>
          <w:rFonts w:asciiTheme="majorHAnsi" w:hAnsiTheme="majorHAnsi" w:cs="Times New Roman"/>
          <w:i/>
          <w:sz w:val="21"/>
          <w:szCs w:val="21"/>
          <w:lang w:val="pt-BR"/>
        </w:rPr>
        <w:t>Valor da Multa: mínimo de 5 (cinco) vezes e máximo de 10 (dez) vezes o valor vigente da anuidade;</w:t>
      </w:r>
    </w:p>
    <w:p w14:paraId="5773D0CA" w14:textId="77777777" w:rsidR="00C769F6" w:rsidRPr="00D317F8" w:rsidRDefault="00C769F6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8FDFAEF" w14:textId="39FCFB2E" w:rsidR="00326561" w:rsidRDefault="00C769F6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necessidade de enquadramento das empresas como prestadoras de serviços relacionados à Arquitetura e Urbanismo, mediante as informações</w:t>
      </w:r>
      <w:r w:rsidR="00326561">
        <w:rPr>
          <w:rFonts w:asciiTheme="majorHAnsi" w:hAnsiTheme="majorHAnsi" w:cs="Times New Roman"/>
          <w:lang w:val="pt-BR"/>
        </w:rPr>
        <w:t xml:space="preserve"> apresentadas em suas inscrições junto ao Cadastro Nacional de Pessoas Jurídicas</w:t>
      </w:r>
      <w:r w:rsidR="00D317F8">
        <w:rPr>
          <w:rFonts w:asciiTheme="majorHAnsi" w:hAnsiTheme="majorHAnsi" w:cs="Times New Roman"/>
          <w:lang w:val="pt-BR"/>
        </w:rPr>
        <w:t xml:space="preserve"> (CNPJ)</w:t>
      </w:r>
      <w:r w:rsidR="00326561">
        <w:rPr>
          <w:rFonts w:asciiTheme="majorHAnsi" w:hAnsiTheme="majorHAnsi" w:cs="Times New Roman"/>
          <w:lang w:val="pt-BR"/>
        </w:rPr>
        <w:t xml:space="preserve">, bem como orientar os agentes de fiscalização desta autarquia sobre quais códigos da Classificação Nacional de Atividades Econômicas (CNAE) </w:t>
      </w:r>
      <w:r w:rsidR="00326561" w:rsidRPr="00326561">
        <w:rPr>
          <w:rFonts w:asciiTheme="majorHAnsi" w:hAnsiTheme="majorHAnsi" w:cs="Times New Roman"/>
          <w:lang w:val="pt-BR"/>
        </w:rPr>
        <w:t xml:space="preserve">deverão ser observadas </w:t>
      </w:r>
      <w:r w:rsidR="00326561">
        <w:rPr>
          <w:rFonts w:asciiTheme="majorHAnsi" w:hAnsiTheme="majorHAnsi" w:cs="Times New Roman"/>
          <w:lang w:val="pt-BR"/>
        </w:rPr>
        <w:t>para o ensejo de processos de fiscalização por ausência de registro no CAU.</w:t>
      </w:r>
    </w:p>
    <w:p w14:paraId="680EE557" w14:textId="3D9C2D1B" w:rsidR="00326561" w:rsidRDefault="00326561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B7B2ADE" w14:textId="77777777" w:rsidR="00D317F8" w:rsidRDefault="00D317F8" w:rsidP="00C769F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3D868AD2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7C6B04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28F818B" w14:textId="2F285A1F" w:rsidR="00C769F6" w:rsidRDefault="00326561" w:rsidP="00D317F8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326561">
        <w:rPr>
          <w:rFonts w:asciiTheme="majorHAnsi" w:hAnsiTheme="majorHAnsi" w:cs="Times New Roman"/>
          <w:lang w:val="pt-BR"/>
        </w:rPr>
        <w:t>Definir</w:t>
      </w:r>
      <w:r w:rsidR="00D317F8">
        <w:rPr>
          <w:rFonts w:asciiTheme="majorHAnsi" w:hAnsiTheme="majorHAnsi" w:cs="Times New Roman"/>
          <w:lang w:val="pt-BR"/>
        </w:rPr>
        <w:t>, na forma do anexo deste normativo, a</w:t>
      </w:r>
      <w:r w:rsidR="00D317F8" w:rsidRPr="00326561">
        <w:rPr>
          <w:rFonts w:asciiTheme="majorHAnsi" w:hAnsiTheme="majorHAnsi" w:cs="Times New Roman"/>
          <w:lang w:val="pt-BR"/>
        </w:rPr>
        <w:t xml:space="preserve">s </w:t>
      </w:r>
      <w:r w:rsidR="00D317F8">
        <w:rPr>
          <w:rFonts w:asciiTheme="majorHAnsi" w:hAnsiTheme="majorHAnsi" w:cs="Times New Roman"/>
          <w:lang w:val="pt-BR"/>
        </w:rPr>
        <w:t>s</w:t>
      </w:r>
      <w:r w:rsidR="00D317F8" w:rsidRPr="00326561">
        <w:rPr>
          <w:rFonts w:asciiTheme="majorHAnsi" w:hAnsiTheme="majorHAnsi" w:cs="Times New Roman"/>
          <w:lang w:val="pt-BR"/>
        </w:rPr>
        <w:t>ubclasses</w:t>
      </w:r>
      <w:r w:rsidR="00D317F8">
        <w:rPr>
          <w:rFonts w:asciiTheme="majorHAnsi" w:hAnsiTheme="majorHAnsi" w:cs="Times New Roman"/>
          <w:lang w:val="pt-BR"/>
        </w:rPr>
        <w:t xml:space="preserve"> da Classificação Nacional de Atividades Econômicas (CNAE) presentes no Cartão do </w:t>
      </w:r>
      <w:r w:rsidR="00D317F8" w:rsidRPr="00D317F8">
        <w:rPr>
          <w:rFonts w:asciiTheme="majorHAnsi" w:hAnsiTheme="majorHAnsi" w:cs="Times New Roman"/>
          <w:lang w:val="pt-BR"/>
        </w:rPr>
        <w:t>Cadastro Nacional de Pessoas Jurídicas (CNPJ)</w:t>
      </w:r>
      <w:r w:rsidR="00D317F8">
        <w:rPr>
          <w:rFonts w:asciiTheme="majorHAnsi" w:hAnsiTheme="majorHAnsi" w:cs="Times New Roman"/>
          <w:lang w:val="pt-BR"/>
        </w:rPr>
        <w:t xml:space="preserve"> de empresas sem registro em órgão de fiscalização do exercício profissional que </w:t>
      </w:r>
      <w:r w:rsidRPr="00D317F8">
        <w:rPr>
          <w:rFonts w:asciiTheme="majorHAnsi" w:hAnsiTheme="majorHAnsi" w:cs="Times New Roman"/>
          <w:lang w:val="pt-BR"/>
        </w:rPr>
        <w:t>devem</w:t>
      </w:r>
      <w:r w:rsidR="00C769F6" w:rsidRPr="00D317F8">
        <w:rPr>
          <w:rFonts w:asciiTheme="majorHAnsi" w:hAnsiTheme="majorHAnsi" w:cs="Times New Roman"/>
          <w:lang w:val="pt-BR"/>
        </w:rPr>
        <w:t xml:space="preserve"> ser utilizad</w:t>
      </w:r>
      <w:r w:rsidRPr="00D317F8">
        <w:rPr>
          <w:rFonts w:asciiTheme="majorHAnsi" w:hAnsiTheme="majorHAnsi" w:cs="Times New Roman"/>
          <w:lang w:val="pt-BR"/>
        </w:rPr>
        <w:t>a</w:t>
      </w:r>
      <w:r w:rsidR="00C769F6" w:rsidRPr="00D317F8">
        <w:rPr>
          <w:rFonts w:asciiTheme="majorHAnsi" w:hAnsiTheme="majorHAnsi" w:cs="Times New Roman"/>
          <w:lang w:val="pt-BR"/>
        </w:rPr>
        <w:t>s para ensejar abertura de processos de fiscalização</w:t>
      </w:r>
      <w:r w:rsidR="00D317F8" w:rsidRPr="00D317F8">
        <w:rPr>
          <w:rFonts w:asciiTheme="majorHAnsi" w:hAnsiTheme="majorHAnsi" w:cs="Times New Roman"/>
          <w:lang w:val="pt-BR"/>
        </w:rPr>
        <w:t>.</w:t>
      </w:r>
    </w:p>
    <w:p w14:paraId="3A161813" w14:textId="77777777" w:rsidR="00D317F8" w:rsidRPr="00D317F8" w:rsidRDefault="00D317F8" w:rsidP="00D317F8">
      <w:pPr>
        <w:spacing w:line="276" w:lineRule="auto"/>
        <w:rPr>
          <w:rFonts w:asciiTheme="majorHAnsi" w:hAnsiTheme="majorHAnsi" w:cs="Times New Roman"/>
          <w:lang w:val="pt-BR"/>
        </w:rPr>
      </w:pPr>
    </w:p>
    <w:p w14:paraId="0D98F1F1" w14:textId="3EB867B7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C769F6">
        <w:rPr>
          <w:rFonts w:asciiTheme="majorHAnsi" w:hAnsiTheme="majorHAnsi" w:cs="Times New Roman"/>
          <w:lang w:val="pt-BR"/>
        </w:rPr>
        <w:t>17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C769F6">
        <w:rPr>
          <w:rFonts w:asciiTheme="majorHAnsi" w:hAnsiTheme="majorHAnsi" w:cs="Times New Roman"/>
          <w:lang w:val="pt-BR"/>
        </w:rPr>
        <w:t>novembro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C04A13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C04A13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C04A13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C04A13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C04A13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4D8180E9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7C3B51AB" w14:textId="0AB903F6" w:rsidR="00D317F8" w:rsidRDefault="00D317F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11D54A8D" w14:textId="77777777" w:rsidR="00D317F8" w:rsidRPr="00825244" w:rsidRDefault="00D317F8" w:rsidP="00D317F8">
      <w:pPr>
        <w:widowControl/>
        <w:suppressLineNumbers/>
        <w:jc w:val="center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lastRenderedPageBreak/>
        <w:t>ANEXO I – LISTA DE SUBCLASSES DA CNAE PARA MOTIVAÇÃO</w:t>
      </w:r>
    </w:p>
    <w:p w14:paraId="109364FE" w14:textId="3E3EFF4F" w:rsidR="00D317F8" w:rsidRPr="00825244" w:rsidRDefault="00D317F8" w:rsidP="00D317F8">
      <w:pPr>
        <w:widowControl/>
        <w:suppressLineNumbers/>
        <w:jc w:val="center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DE ABERTURA DE PROCESSO DE FISCALIZAÇÃO</w:t>
      </w:r>
    </w:p>
    <w:p w14:paraId="08280D48" w14:textId="77777777" w:rsidR="00C04A13" w:rsidRPr="00825244" w:rsidRDefault="00C04A13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3230BCD" w14:textId="0DC32A2C" w:rsidR="00C04A13" w:rsidRPr="00C04A13" w:rsidRDefault="00C04A13" w:rsidP="00C04A13">
      <w:pPr>
        <w:widowControl/>
        <w:suppressLineNumbers/>
        <w:pBdr>
          <w:left w:val="single" w:sz="4" w:space="1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>Seção:</w:t>
      </w: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ab/>
        <w:t>C</w:t>
      </w:r>
      <w:r>
        <w:rPr>
          <w:rFonts w:asciiTheme="majorHAnsi" w:hAnsiTheme="majorHAnsi" w:cs="Times New Roman"/>
          <w:b/>
          <w:bCs/>
          <w:sz w:val="21"/>
          <w:szCs w:val="21"/>
          <w:lang w:val="pt-BR"/>
        </w:rPr>
        <w:t xml:space="preserve"> – </w:t>
      </w: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>INDÚSTRIAS DE TRANSFORMAÇÃO</w:t>
      </w:r>
    </w:p>
    <w:p w14:paraId="2773470D" w14:textId="77777777" w:rsidR="00C04A13" w:rsidRDefault="00C04A13" w:rsidP="00C04A13">
      <w:pPr>
        <w:widowControl/>
        <w:suppressLineNumbers/>
        <w:pBdr>
          <w:left w:val="single" w:sz="4" w:space="1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>Divisão</w:t>
      </w:r>
      <w:r>
        <w:rPr>
          <w:rFonts w:asciiTheme="majorHAnsi" w:hAnsiTheme="majorHAnsi" w:cs="Times New Roman"/>
          <w:b/>
          <w:bCs/>
          <w:sz w:val="21"/>
          <w:szCs w:val="21"/>
          <w:lang w:val="pt-BR"/>
        </w:rPr>
        <w:t xml:space="preserve"> </w:t>
      </w: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>23</w:t>
      </w:r>
      <w:r>
        <w:rPr>
          <w:rFonts w:asciiTheme="majorHAnsi" w:hAnsiTheme="majorHAnsi" w:cs="Times New Roman"/>
          <w:b/>
          <w:bCs/>
          <w:sz w:val="21"/>
          <w:szCs w:val="21"/>
          <w:lang w:val="pt-BR"/>
        </w:rPr>
        <w:t xml:space="preserve"> – </w:t>
      </w: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>FABRICAÇÃO DE PRODUTOS DE MINERAIS NÃO-METÁLICOS</w:t>
      </w:r>
    </w:p>
    <w:p w14:paraId="65D806E4" w14:textId="0C7986C8" w:rsidR="00D317F8" w:rsidRPr="00C04A13" w:rsidRDefault="00C04A13" w:rsidP="00C04A13">
      <w:pPr>
        <w:widowControl/>
        <w:suppressLineNumbers/>
        <w:pBdr>
          <w:left w:val="single" w:sz="4" w:space="1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C04A13">
        <w:rPr>
          <w:rFonts w:asciiTheme="majorHAnsi" w:hAnsiTheme="majorHAnsi" w:cs="Times New Roman"/>
          <w:b/>
          <w:bCs/>
          <w:sz w:val="21"/>
          <w:szCs w:val="21"/>
          <w:lang w:val="pt-BR"/>
        </w:rPr>
        <w:t xml:space="preserve"> </w:t>
      </w: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SUBCLASSES</w:t>
      </w:r>
      <w:r>
        <w:rPr>
          <w:rFonts w:asciiTheme="majorHAnsi" w:hAnsiTheme="majorHAnsi" w:cs="Times New Roman"/>
          <w:b/>
          <w:bCs/>
          <w:sz w:val="21"/>
          <w:szCs w:val="21"/>
          <w:lang w:val="pt-BR"/>
        </w:rPr>
        <w:t>:</w:t>
      </w:r>
    </w:p>
    <w:p w14:paraId="1AED9A89" w14:textId="5BFF267A" w:rsidR="00C04A13" w:rsidRDefault="00C04A13" w:rsidP="00C04A13">
      <w:pPr>
        <w:pBdr>
          <w:left w:val="single" w:sz="4" w:space="1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2330-3/01</w:t>
      </w:r>
      <w:r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– </w:t>
      </w: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Fabricação de estruturas </w:t>
      </w:r>
      <w:proofErr w:type="spellStart"/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pré</w:t>
      </w:r>
      <w:proofErr w:type="spellEnd"/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moldadas de concreto armado, em série e sob encomenda</w:t>
      </w:r>
    </w:p>
    <w:p w14:paraId="49CB6F0A" w14:textId="13191A9D" w:rsidR="00C04A13" w:rsidRPr="00C04A13" w:rsidRDefault="00C04A13" w:rsidP="00C04A13">
      <w:pPr>
        <w:pBdr>
          <w:left w:val="single" w:sz="4" w:space="1" w:color="auto"/>
        </w:pBdr>
        <w:spacing w:line="276" w:lineRule="auto"/>
        <w:ind w:firstLine="720"/>
        <w:rPr>
          <w:rFonts w:asciiTheme="majorHAnsi" w:hAnsiTheme="majorHAnsi" w:cs="Times New Roman"/>
          <w:i/>
          <w:iCs/>
          <w:sz w:val="18"/>
          <w:szCs w:val="18"/>
          <w:lang w:val="pt-BR"/>
        </w:rPr>
      </w:pPr>
      <w:r w:rsidRPr="00C04A13">
        <w:rPr>
          <w:rFonts w:asciiTheme="majorHAnsi" w:hAnsiTheme="majorHAnsi" w:cs="Times New Roman"/>
          <w:i/>
          <w:iCs/>
          <w:sz w:val="18"/>
          <w:szCs w:val="18"/>
          <w:lang w:val="pt-BR"/>
        </w:rPr>
        <w:t>(incluído pela Deliberação CEP 169.3.1/2020)</w:t>
      </w:r>
    </w:p>
    <w:p w14:paraId="11479B03" w14:textId="3A6DD63D" w:rsidR="00C04A13" w:rsidRDefault="00C04A13" w:rsidP="00C04A13">
      <w:pPr>
        <w:pBdr>
          <w:left w:val="single" w:sz="4" w:space="1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2330-3/02</w:t>
      </w:r>
      <w:r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– </w:t>
      </w: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Fabricação de artefatos de cimento para uso na construção</w:t>
      </w:r>
    </w:p>
    <w:p w14:paraId="58A56A67" w14:textId="77777777" w:rsidR="00C04A13" w:rsidRPr="00C04A13" w:rsidRDefault="00C04A13" w:rsidP="00C04A13">
      <w:pPr>
        <w:pBdr>
          <w:left w:val="single" w:sz="4" w:space="1" w:color="auto"/>
        </w:pBdr>
        <w:spacing w:line="276" w:lineRule="auto"/>
        <w:ind w:firstLine="720"/>
        <w:rPr>
          <w:rFonts w:asciiTheme="majorHAnsi" w:hAnsiTheme="majorHAnsi" w:cs="Times New Roman"/>
          <w:i/>
          <w:iCs/>
          <w:sz w:val="18"/>
          <w:szCs w:val="18"/>
          <w:lang w:val="pt-BR"/>
        </w:rPr>
      </w:pPr>
      <w:r w:rsidRPr="00C04A13">
        <w:rPr>
          <w:rFonts w:asciiTheme="majorHAnsi" w:hAnsiTheme="majorHAnsi" w:cs="Times New Roman"/>
          <w:i/>
          <w:iCs/>
          <w:sz w:val="18"/>
          <w:szCs w:val="18"/>
          <w:lang w:val="pt-BR"/>
        </w:rPr>
        <w:t>(incluído pela Deliberação CEP 169.3.1/2020)</w:t>
      </w:r>
    </w:p>
    <w:p w14:paraId="0312714C" w14:textId="5CEFCA95" w:rsidR="00C04A13" w:rsidRDefault="00C04A13" w:rsidP="00C04A13">
      <w:pPr>
        <w:pBdr>
          <w:left w:val="single" w:sz="4" w:space="1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2330-3/03</w:t>
      </w:r>
      <w:r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– </w:t>
      </w: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Fabricação de artefatos de fibrocimento para uso na construção</w:t>
      </w:r>
    </w:p>
    <w:p w14:paraId="78793B42" w14:textId="5DE33F19" w:rsidR="00C04A13" w:rsidRPr="00C04A13" w:rsidRDefault="00C04A13" w:rsidP="00C04A13">
      <w:pPr>
        <w:pBdr>
          <w:left w:val="single" w:sz="4" w:space="1" w:color="auto"/>
        </w:pBdr>
        <w:spacing w:line="276" w:lineRule="auto"/>
        <w:ind w:firstLine="720"/>
        <w:rPr>
          <w:rFonts w:asciiTheme="majorHAnsi" w:hAnsiTheme="majorHAnsi" w:cs="Times New Roman"/>
          <w:i/>
          <w:iCs/>
          <w:sz w:val="18"/>
          <w:szCs w:val="18"/>
          <w:lang w:val="pt-BR"/>
        </w:rPr>
      </w:pPr>
      <w:r w:rsidRPr="00C04A13">
        <w:rPr>
          <w:rFonts w:asciiTheme="majorHAnsi" w:hAnsiTheme="majorHAnsi" w:cs="Times New Roman"/>
          <w:i/>
          <w:iCs/>
          <w:sz w:val="18"/>
          <w:szCs w:val="18"/>
          <w:lang w:val="pt-BR"/>
        </w:rPr>
        <w:t>(incluído pela Deliberação CEP 169.3.1/2020)</w:t>
      </w:r>
    </w:p>
    <w:p w14:paraId="759134B7" w14:textId="71F8801D" w:rsidR="00C04A13" w:rsidRDefault="00C04A13" w:rsidP="00C04A13">
      <w:pPr>
        <w:pBdr>
          <w:left w:val="single" w:sz="4" w:space="1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2330-3/04</w:t>
      </w:r>
      <w:r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– </w:t>
      </w: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Fabricação de casas </w:t>
      </w:r>
      <w:proofErr w:type="spellStart"/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pré</w:t>
      </w:r>
      <w:proofErr w:type="spellEnd"/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moldadas de concreto</w:t>
      </w:r>
    </w:p>
    <w:p w14:paraId="75E63F32" w14:textId="77777777" w:rsidR="00C04A13" w:rsidRPr="00C04A13" w:rsidRDefault="00C04A13" w:rsidP="00C04A13">
      <w:pPr>
        <w:pBdr>
          <w:left w:val="single" w:sz="4" w:space="1" w:color="auto"/>
        </w:pBdr>
        <w:spacing w:line="276" w:lineRule="auto"/>
        <w:ind w:firstLine="720"/>
        <w:rPr>
          <w:rFonts w:asciiTheme="majorHAnsi" w:hAnsiTheme="majorHAnsi" w:cs="Times New Roman"/>
          <w:i/>
          <w:iCs/>
          <w:sz w:val="18"/>
          <w:szCs w:val="18"/>
          <w:lang w:val="pt-BR"/>
        </w:rPr>
      </w:pPr>
      <w:r w:rsidRPr="00C04A13">
        <w:rPr>
          <w:rFonts w:asciiTheme="majorHAnsi" w:hAnsiTheme="majorHAnsi" w:cs="Times New Roman"/>
          <w:i/>
          <w:iCs/>
          <w:sz w:val="18"/>
          <w:szCs w:val="18"/>
          <w:lang w:val="pt-BR"/>
        </w:rPr>
        <w:t>(incluído pela Deliberação CEP 169.3.1/2020)</w:t>
      </w:r>
    </w:p>
    <w:p w14:paraId="50EEB86E" w14:textId="1D13524F" w:rsidR="00C04A13" w:rsidRDefault="00C04A13" w:rsidP="00C04A13">
      <w:pPr>
        <w:pBdr>
          <w:left w:val="single" w:sz="4" w:space="1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2330-3/05</w:t>
      </w:r>
      <w:r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 – </w:t>
      </w:r>
      <w:r w:rsidRPr="00C04A13">
        <w:rPr>
          <w:rFonts w:asciiTheme="majorHAnsi" w:hAnsiTheme="majorHAnsi" w:cs="Times New Roman"/>
          <w:sz w:val="21"/>
          <w:szCs w:val="21"/>
          <w:u w:val="single"/>
          <w:lang w:val="pt-BR"/>
        </w:rPr>
        <w:t>Preparação de massa de concreto e argamassa para construção</w:t>
      </w:r>
    </w:p>
    <w:p w14:paraId="09495EF8" w14:textId="79BB6D75" w:rsidR="00C04A13" w:rsidRPr="00C04A13" w:rsidRDefault="00C04A13" w:rsidP="00C04A13">
      <w:pPr>
        <w:pBdr>
          <w:left w:val="single" w:sz="4" w:space="1" w:color="auto"/>
        </w:pBdr>
        <w:spacing w:line="276" w:lineRule="auto"/>
        <w:ind w:firstLine="720"/>
        <w:rPr>
          <w:rFonts w:asciiTheme="majorHAnsi" w:hAnsiTheme="majorHAnsi" w:cs="Times New Roman"/>
          <w:i/>
          <w:iCs/>
          <w:sz w:val="18"/>
          <w:szCs w:val="18"/>
          <w:lang w:val="pt-BR"/>
        </w:rPr>
      </w:pPr>
      <w:r w:rsidRPr="00C04A13">
        <w:rPr>
          <w:rFonts w:asciiTheme="majorHAnsi" w:hAnsiTheme="majorHAnsi" w:cs="Times New Roman"/>
          <w:i/>
          <w:iCs/>
          <w:sz w:val="18"/>
          <w:szCs w:val="18"/>
          <w:lang w:val="pt-BR"/>
        </w:rPr>
        <w:t>(incluído pela Deliberação CEP 169.3.1/2020)</w:t>
      </w:r>
    </w:p>
    <w:p w14:paraId="62C30B9B" w14:textId="77777777" w:rsidR="00C04A13" w:rsidRPr="00825244" w:rsidRDefault="00C04A13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82D3E9F" w14:textId="51178321" w:rsidR="00D317F8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SEÇÃO F – CONSTRUÇÃO</w:t>
      </w:r>
    </w:p>
    <w:p w14:paraId="5E7600D9" w14:textId="450AE4C0" w:rsidR="00D317F8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DIVISÃO 41 – CONSTRUÇÃO DE EDIFÍCIOS</w:t>
      </w:r>
    </w:p>
    <w:p w14:paraId="5541A079" w14:textId="18017A75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SUBCLASSES:</w:t>
      </w:r>
    </w:p>
    <w:p w14:paraId="1C5C6C78" w14:textId="2500B4E9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b/>
          <w:bCs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4120-4/00 – Construção </w:t>
      </w:r>
      <w:r w:rsid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d</w:t>
      </w: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 xml:space="preserve">e </w:t>
      </w:r>
      <w:r w:rsid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e</w:t>
      </w: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difícios</w:t>
      </w:r>
    </w:p>
    <w:p w14:paraId="296D01C8" w14:textId="77777777" w:rsidR="00651124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  <w:lang w:val="pt-BR"/>
        </w:rPr>
      </w:pPr>
    </w:p>
    <w:p w14:paraId="732BFF8C" w14:textId="65FA8308" w:rsidR="00651124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DIVISÃO 42 – OBRAS DE INFRAESTRUTURA</w:t>
      </w:r>
    </w:p>
    <w:p w14:paraId="73EEF1FE" w14:textId="4D4E86CB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SUBCLASSES:</w:t>
      </w:r>
    </w:p>
    <w:p w14:paraId="39891E1C" w14:textId="56D89A1D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4213-8/00 – Obras de urbanização - ruas, praças e calçadas</w:t>
      </w:r>
    </w:p>
    <w:p w14:paraId="5C54F2E9" w14:textId="4E9D2A85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4299-5/99 – Serviços de loteamento (subdivisão de terras) com execução de benfeitorias</w:t>
      </w:r>
    </w:p>
    <w:p w14:paraId="559F6CE3" w14:textId="77777777" w:rsidR="00651124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  <w:lang w:val="pt-BR"/>
        </w:rPr>
      </w:pPr>
    </w:p>
    <w:p w14:paraId="52F5B7BD" w14:textId="5FCE142C" w:rsidR="00651124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DIVISÃO 43 – SERVIÇOS ESPECIALIZADOS PARA CONSTRUÇÃO</w:t>
      </w:r>
    </w:p>
    <w:p w14:paraId="0707E00B" w14:textId="77AE122F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4311-8/01 – Demolição de edifícios e outras estruturas</w:t>
      </w:r>
    </w:p>
    <w:p w14:paraId="500F45E2" w14:textId="6C722986" w:rsidR="00651124" w:rsidRPr="00825244" w:rsidRDefault="00651124" w:rsidP="00825244">
      <w:pPr>
        <w:widowControl/>
        <w:suppressLineNumbers/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  <w:lang w:val="pt-BR"/>
        </w:rPr>
      </w:pPr>
    </w:p>
    <w:p w14:paraId="0A639325" w14:textId="088B9768" w:rsidR="00651124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SEÇÃO M – ATIVIDADES PROFISSIONAIS, CIENTÍFICAS E TÉCNICAS</w:t>
      </w:r>
    </w:p>
    <w:p w14:paraId="7ED6B8BF" w14:textId="24DB74FA" w:rsidR="00651124" w:rsidRPr="00825244" w:rsidRDefault="0065112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DIVISÃO 71 – SERVIÇOS DE ARQUITETURA E ENGENHARIA; TESTES E ANÁLISES TÉCNICAS</w:t>
      </w:r>
    </w:p>
    <w:p w14:paraId="70B31D71" w14:textId="77777777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SUBCLASSES:</w:t>
      </w:r>
    </w:p>
    <w:p w14:paraId="353E916A" w14:textId="05000874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7111-1/00 – Serviços de arquitetura</w:t>
      </w:r>
    </w:p>
    <w:p w14:paraId="3C5D54BE" w14:textId="6D50EF61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7119-7/03 – Serviços de desenho técnico relacionados à arquitetura e engenharia</w:t>
      </w:r>
    </w:p>
    <w:p w14:paraId="6388D091" w14:textId="54FC40A4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7119-7/04 – Serviços de perícia técnica relacionados à segurança do trabalho</w:t>
      </w:r>
    </w:p>
    <w:p w14:paraId="12B638D3" w14:textId="6C48BCB3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7119-7/99 – Atividades técnicas relacionadas à engenharia e arquitetura não especificadas anteriormente</w:t>
      </w:r>
    </w:p>
    <w:p w14:paraId="5BF1385A" w14:textId="500BBE45" w:rsidR="00651124" w:rsidRPr="00825244" w:rsidRDefault="00651124" w:rsidP="00825244">
      <w:pPr>
        <w:spacing w:line="276" w:lineRule="auto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246C8E39" w14:textId="7C1ABF30" w:rsidR="00825244" w:rsidRPr="00825244" w:rsidRDefault="0082524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SEÇÃO R – ARTES, CULTURA, ESPORTE E RECREAÇÃO</w:t>
      </w:r>
    </w:p>
    <w:p w14:paraId="024776F0" w14:textId="5D9B305F" w:rsidR="00651124" w:rsidRPr="00825244" w:rsidRDefault="00825244" w:rsidP="00825244">
      <w:pPr>
        <w:widowControl/>
        <w:suppressLineNumbers/>
        <w:pBdr>
          <w:left w:val="single" w:sz="4" w:space="4" w:color="auto"/>
        </w:pBdr>
        <w:spacing w:after="160"/>
        <w:jc w:val="both"/>
        <w:rPr>
          <w:rFonts w:asciiTheme="majorHAnsi" w:hAnsiTheme="majorHAnsi" w:cs="Times New Roman"/>
          <w:b/>
          <w:bCs/>
          <w:sz w:val="21"/>
          <w:szCs w:val="21"/>
          <w:lang w:val="pt-BR"/>
        </w:rPr>
      </w:pPr>
      <w:r w:rsidRPr="00825244">
        <w:rPr>
          <w:rFonts w:asciiTheme="majorHAnsi" w:hAnsiTheme="majorHAnsi" w:cs="Times New Roman"/>
          <w:b/>
          <w:bCs/>
          <w:sz w:val="21"/>
          <w:szCs w:val="21"/>
          <w:lang w:val="pt-BR"/>
        </w:rPr>
        <w:t>DIVISÃO 91 – ATIVIDADES LIGADAS AO PATRIMÔNIO CULTURAL E AMBIENTAL</w:t>
      </w:r>
    </w:p>
    <w:p w14:paraId="6D410A10" w14:textId="6FEE8151" w:rsidR="00651124" w:rsidRPr="00825244" w:rsidRDefault="00651124" w:rsidP="00825244">
      <w:pPr>
        <w:pBdr>
          <w:left w:val="single" w:sz="4" w:space="4" w:color="auto"/>
        </w:pBdr>
        <w:spacing w:line="276" w:lineRule="auto"/>
        <w:rPr>
          <w:rFonts w:asciiTheme="majorHAnsi" w:hAnsiTheme="majorHAnsi" w:cs="Times New Roman"/>
          <w:b/>
          <w:bCs/>
          <w:sz w:val="21"/>
          <w:szCs w:val="21"/>
          <w:u w:val="single"/>
          <w:lang w:val="pt-BR"/>
        </w:rPr>
      </w:pPr>
      <w:r w:rsidRPr="00825244">
        <w:rPr>
          <w:rFonts w:asciiTheme="majorHAnsi" w:hAnsiTheme="majorHAnsi" w:cs="Times New Roman"/>
          <w:sz w:val="21"/>
          <w:szCs w:val="21"/>
          <w:u w:val="single"/>
          <w:lang w:val="pt-BR"/>
        </w:rPr>
        <w:t>9102-3/02 – Restauração e conservação de lugares e prédios históricos</w:t>
      </w:r>
    </w:p>
    <w:sectPr w:rsidR="00651124" w:rsidRPr="0082524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26BAB" w14:textId="77777777" w:rsidR="009F7A7E" w:rsidRDefault="009F7A7E" w:rsidP="007E22C9">
      <w:r>
        <w:separator/>
      </w:r>
    </w:p>
  </w:endnote>
  <w:endnote w:type="continuationSeparator" w:id="0">
    <w:p w14:paraId="305D3A2E" w14:textId="77777777" w:rsidR="009F7A7E" w:rsidRDefault="009F7A7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BD85" w14:textId="77777777" w:rsidR="009F7A7E" w:rsidRDefault="009F7A7E" w:rsidP="007E22C9">
      <w:r>
        <w:separator/>
      </w:r>
    </w:p>
  </w:footnote>
  <w:footnote w:type="continuationSeparator" w:id="0">
    <w:p w14:paraId="44A13542" w14:textId="77777777" w:rsidR="009F7A7E" w:rsidRDefault="009F7A7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3FC0D19"/>
    <w:multiLevelType w:val="hybridMultilevel"/>
    <w:tmpl w:val="54001A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6732ABD"/>
    <w:multiLevelType w:val="hybridMultilevel"/>
    <w:tmpl w:val="86DAF9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0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9"/>
  </w:num>
  <w:num w:numId="8">
    <w:abstractNumId w:val="1"/>
  </w:num>
  <w:num w:numId="9">
    <w:abstractNumId w:val="3"/>
  </w:num>
  <w:num w:numId="10">
    <w:abstractNumId w:val="20"/>
  </w:num>
  <w:num w:numId="11">
    <w:abstractNumId w:val="35"/>
  </w:num>
  <w:num w:numId="12">
    <w:abstractNumId w:val="10"/>
  </w:num>
  <w:num w:numId="13">
    <w:abstractNumId w:val="23"/>
  </w:num>
  <w:num w:numId="14">
    <w:abstractNumId w:val="41"/>
  </w:num>
  <w:num w:numId="15">
    <w:abstractNumId w:val="14"/>
  </w:num>
  <w:num w:numId="16">
    <w:abstractNumId w:val="32"/>
  </w:num>
  <w:num w:numId="17">
    <w:abstractNumId w:val="8"/>
  </w:num>
  <w:num w:numId="18">
    <w:abstractNumId w:val="17"/>
  </w:num>
  <w:num w:numId="19">
    <w:abstractNumId w:val="26"/>
  </w:num>
  <w:num w:numId="20">
    <w:abstractNumId w:val="12"/>
  </w:num>
  <w:num w:numId="21">
    <w:abstractNumId w:val="28"/>
  </w:num>
  <w:num w:numId="22">
    <w:abstractNumId w:val="0"/>
  </w:num>
  <w:num w:numId="23">
    <w:abstractNumId w:val="6"/>
  </w:num>
  <w:num w:numId="24">
    <w:abstractNumId w:val="36"/>
  </w:num>
  <w:num w:numId="25">
    <w:abstractNumId w:val="2"/>
  </w:num>
  <w:num w:numId="26">
    <w:abstractNumId w:val="29"/>
  </w:num>
  <w:num w:numId="27">
    <w:abstractNumId w:val="31"/>
  </w:num>
  <w:num w:numId="28">
    <w:abstractNumId w:val="25"/>
  </w:num>
  <w:num w:numId="29">
    <w:abstractNumId w:val="18"/>
  </w:num>
  <w:num w:numId="30">
    <w:abstractNumId w:val="19"/>
  </w:num>
  <w:num w:numId="31">
    <w:abstractNumId w:val="16"/>
  </w:num>
  <w:num w:numId="32">
    <w:abstractNumId w:val="11"/>
  </w:num>
  <w:num w:numId="33">
    <w:abstractNumId w:val="24"/>
  </w:num>
  <w:num w:numId="34">
    <w:abstractNumId w:val="34"/>
  </w:num>
  <w:num w:numId="35">
    <w:abstractNumId w:val="30"/>
  </w:num>
  <w:num w:numId="36">
    <w:abstractNumId w:val="37"/>
  </w:num>
  <w:num w:numId="37">
    <w:abstractNumId w:val="33"/>
  </w:num>
  <w:num w:numId="38">
    <w:abstractNumId w:val="38"/>
  </w:num>
  <w:num w:numId="39">
    <w:abstractNumId w:val="27"/>
  </w:num>
  <w:num w:numId="40">
    <w:abstractNumId w:val="7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B4BAB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13AA1"/>
    <w:rsid w:val="00225267"/>
    <w:rsid w:val="002322C9"/>
    <w:rsid w:val="002419CF"/>
    <w:rsid w:val="00254188"/>
    <w:rsid w:val="00254A9D"/>
    <w:rsid w:val="00260458"/>
    <w:rsid w:val="00266909"/>
    <w:rsid w:val="00275CFF"/>
    <w:rsid w:val="00282D54"/>
    <w:rsid w:val="00283B58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1583"/>
    <w:rsid w:val="002E21B1"/>
    <w:rsid w:val="002E7999"/>
    <w:rsid w:val="00317974"/>
    <w:rsid w:val="00326561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A1C30"/>
    <w:rsid w:val="005C366A"/>
    <w:rsid w:val="005C6C3B"/>
    <w:rsid w:val="005D1468"/>
    <w:rsid w:val="005D7606"/>
    <w:rsid w:val="005F3D29"/>
    <w:rsid w:val="005F704D"/>
    <w:rsid w:val="00600DD6"/>
    <w:rsid w:val="00601495"/>
    <w:rsid w:val="006207B9"/>
    <w:rsid w:val="00626459"/>
    <w:rsid w:val="00632110"/>
    <w:rsid w:val="00651124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042"/>
    <w:rsid w:val="006C56EC"/>
    <w:rsid w:val="006C7CF0"/>
    <w:rsid w:val="006D2BFF"/>
    <w:rsid w:val="006D3E06"/>
    <w:rsid w:val="006E3863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B04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25244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B2A11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36D2B"/>
    <w:rsid w:val="00940C7F"/>
    <w:rsid w:val="00945CFB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A7E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4D3E"/>
    <w:rsid w:val="00AB6035"/>
    <w:rsid w:val="00AB6778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15BF"/>
    <w:rsid w:val="00B8355D"/>
    <w:rsid w:val="00B95B3D"/>
    <w:rsid w:val="00BA24DE"/>
    <w:rsid w:val="00BA6DEA"/>
    <w:rsid w:val="00BB6471"/>
    <w:rsid w:val="00BC0830"/>
    <w:rsid w:val="00BC1C24"/>
    <w:rsid w:val="00BC2B0C"/>
    <w:rsid w:val="00BD72B1"/>
    <w:rsid w:val="00BE6DC5"/>
    <w:rsid w:val="00BF3D2B"/>
    <w:rsid w:val="00C04A13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69F6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6327"/>
    <w:rsid w:val="00D20C72"/>
    <w:rsid w:val="00D317F8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3CAC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8056A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37DD"/>
    <w:rsid w:val="00FE58AF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1010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20</cp:revision>
  <cp:lastPrinted>2018-01-25T16:29:00Z</cp:lastPrinted>
  <dcterms:created xsi:type="dcterms:W3CDTF">2020-08-30T04:17:00Z</dcterms:created>
  <dcterms:modified xsi:type="dcterms:W3CDTF">2020-12-10T20:29:00Z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