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188" w:type="dxa"/>
        <w:jc w:val="center"/>
        <w:tblLook w:val="04A0" w:firstRow="1" w:lastRow="0" w:firstColumn="1" w:lastColumn="0" w:noHBand="0" w:noVBand="1"/>
      </w:tblPr>
      <w:tblGrid>
        <w:gridCol w:w="2376"/>
        <w:gridCol w:w="3573"/>
        <w:gridCol w:w="4239"/>
      </w:tblGrid>
      <w:tr w:rsidR="001616F5" w:rsidRPr="00A15CA7" w14:paraId="514851AF" w14:textId="77777777">
        <w:trPr>
          <w:trHeight w:val="692"/>
          <w:jc w:val="center"/>
        </w:trPr>
        <w:tc>
          <w:tcPr>
            <w:tcW w:w="10188" w:type="dxa"/>
            <w:gridSpan w:val="3"/>
            <w:shd w:val="clear" w:color="auto" w:fill="D9D9D9" w:themeFill="background1" w:themeFillShade="D9"/>
            <w:vAlign w:val="center"/>
          </w:tcPr>
          <w:p w14:paraId="3181A1BF" w14:textId="75CA1F5D" w:rsidR="001616F5" w:rsidRPr="00332B42" w:rsidRDefault="008656E7">
            <w:pPr>
              <w:widowControl/>
              <w:suppressLineNumbers/>
              <w:jc w:val="center"/>
              <w:rPr>
                <w:lang w:val="pt-BR"/>
              </w:rPr>
            </w:pPr>
            <w:r>
              <w:rPr>
                <w:rFonts w:asciiTheme="majorHAnsi" w:hAnsiTheme="majorHAnsi" w:cs="Times New Roman"/>
                <w:b/>
                <w:lang w:val="pt-BR"/>
              </w:rPr>
              <w:t>SÚMULA DA 16</w:t>
            </w:r>
            <w:r w:rsidR="00AF4728">
              <w:rPr>
                <w:rFonts w:asciiTheme="majorHAnsi" w:hAnsiTheme="majorHAnsi" w:cs="Times New Roman"/>
                <w:b/>
                <w:lang w:val="pt-BR"/>
              </w:rPr>
              <w:t>6</w:t>
            </w:r>
            <w:r>
              <w:rPr>
                <w:rFonts w:asciiTheme="majorHAnsi" w:hAnsiTheme="majorHAnsi" w:cs="Times New Roman"/>
                <w:b/>
                <w:lang w:val="pt-BR"/>
              </w:rPr>
              <w:t>ª REUNIÃO (ORDINÁRIA) DA</w:t>
            </w:r>
          </w:p>
          <w:p w14:paraId="5526EC69" w14:textId="77777777" w:rsidR="001616F5" w:rsidRDefault="008656E7">
            <w:pPr>
              <w:widowControl/>
              <w:suppressLineNumbers/>
              <w:jc w:val="center"/>
              <w:rPr>
                <w:rFonts w:asciiTheme="majorHAnsi" w:hAnsiTheme="majorHAnsi" w:cs="Times New Roman"/>
                <w:sz w:val="26"/>
                <w:szCs w:val="26"/>
                <w:lang w:val="pt-BR"/>
              </w:rPr>
            </w:pPr>
            <w:r>
              <w:rPr>
                <w:rFonts w:asciiTheme="majorHAnsi" w:hAnsiTheme="majorHAnsi" w:cs="Times New Roman"/>
                <w:b/>
                <w:sz w:val="26"/>
                <w:szCs w:val="26"/>
                <w:lang w:val="pt-BR"/>
              </w:rPr>
              <w:t>COMISSÃO DE EXERCÍCIO PROFISSIONAL – CEP-CAU/MG</w:t>
            </w:r>
          </w:p>
        </w:tc>
      </w:tr>
      <w:tr w:rsidR="001616F5" w:rsidRPr="00A15CA7" w14:paraId="6A0E502B" w14:textId="77777777">
        <w:trPr>
          <w:trHeight w:val="70"/>
          <w:jc w:val="center"/>
        </w:trPr>
        <w:tc>
          <w:tcPr>
            <w:tcW w:w="10188" w:type="dxa"/>
            <w:gridSpan w:val="3"/>
            <w:tcBorders>
              <w:left w:val="nil"/>
              <w:right w:val="nil"/>
            </w:tcBorders>
            <w:shd w:val="clear" w:color="auto" w:fill="auto"/>
            <w:vAlign w:val="center"/>
          </w:tcPr>
          <w:p w14:paraId="5E7282BC" w14:textId="77777777" w:rsidR="001616F5" w:rsidRDefault="001616F5">
            <w:pPr>
              <w:widowControl/>
              <w:suppressLineNumbers/>
              <w:jc w:val="both"/>
              <w:rPr>
                <w:rFonts w:asciiTheme="majorHAnsi" w:hAnsiTheme="majorHAnsi" w:cs="Times New Roman"/>
                <w:sz w:val="10"/>
                <w:szCs w:val="10"/>
                <w:lang w:val="pt-BR"/>
              </w:rPr>
            </w:pPr>
          </w:p>
        </w:tc>
      </w:tr>
      <w:tr w:rsidR="001616F5" w14:paraId="585843F4" w14:textId="77777777">
        <w:trPr>
          <w:trHeight w:val="330"/>
          <w:jc w:val="center"/>
        </w:trPr>
        <w:tc>
          <w:tcPr>
            <w:tcW w:w="10188" w:type="dxa"/>
            <w:gridSpan w:val="3"/>
            <w:shd w:val="clear" w:color="auto" w:fill="D9D9D9" w:themeFill="background1" w:themeFillShade="D9"/>
            <w:vAlign w:val="center"/>
          </w:tcPr>
          <w:p w14:paraId="422674B6"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 LOCAL E DATA:</w:t>
            </w:r>
          </w:p>
        </w:tc>
      </w:tr>
      <w:tr w:rsidR="001616F5" w14:paraId="03ECF764" w14:textId="77777777">
        <w:trPr>
          <w:trHeight w:val="330"/>
          <w:jc w:val="center"/>
        </w:trPr>
        <w:tc>
          <w:tcPr>
            <w:tcW w:w="2376" w:type="dxa"/>
            <w:shd w:val="clear" w:color="auto" w:fill="D9D9D9" w:themeFill="background1" w:themeFillShade="D9"/>
            <w:vAlign w:val="center"/>
          </w:tcPr>
          <w:p w14:paraId="4D33DFAD"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DATA:</w:t>
            </w:r>
          </w:p>
        </w:tc>
        <w:tc>
          <w:tcPr>
            <w:tcW w:w="7812" w:type="dxa"/>
            <w:gridSpan w:val="2"/>
            <w:shd w:val="clear" w:color="auto" w:fill="auto"/>
            <w:vAlign w:val="center"/>
          </w:tcPr>
          <w:p w14:paraId="5A18C93C" w14:textId="34A2767E" w:rsidR="001616F5" w:rsidRDefault="004B3818">
            <w:pPr>
              <w:widowControl/>
              <w:suppressLineNumbers/>
              <w:jc w:val="both"/>
            </w:pPr>
            <w:r>
              <w:rPr>
                <w:rFonts w:asciiTheme="majorHAnsi" w:hAnsiTheme="majorHAnsi" w:cs="Times New Roman"/>
                <w:sz w:val="20"/>
                <w:szCs w:val="20"/>
                <w:lang w:val="pt-BR"/>
              </w:rPr>
              <w:t>2</w:t>
            </w:r>
            <w:r w:rsidR="00AF4728">
              <w:rPr>
                <w:rFonts w:asciiTheme="majorHAnsi" w:hAnsiTheme="majorHAnsi" w:cs="Times New Roman"/>
                <w:sz w:val="20"/>
                <w:szCs w:val="20"/>
                <w:lang w:val="pt-BR"/>
              </w:rPr>
              <w:t>2</w:t>
            </w:r>
            <w:r w:rsidR="008656E7">
              <w:rPr>
                <w:rFonts w:asciiTheme="majorHAnsi" w:hAnsiTheme="majorHAnsi" w:cs="Times New Roman"/>
                <w:sz w:val="20"/>
                <w:szCs w:val="20"/>
                <w:lang w:val="pt-BR"/>
              </w:rPr>
              <w:t xml:space="preserve"> de </w:t>
            </w:r>
            <w:r w:rsidR="00AF4728">
              <w:rPr>
                <w:rFonts w:asciiTheme="majorHAnsi" w:hAnsiTheme="majorHAnsi" w:cs="Times New Roman"/>
                <w:sz w:val="20"/>
                <w:szCs w:val="20"/>
                <w:lang w:val="pt-BR"/>
              </w:rPr>
              <w:t>setembro</w:t>
            </w:r>
            <w:r w:rsidR="008656E7">
              <w:rPr>
                <w:rFonts w:asciiTheme="majorHAnsi" w:hAnsiTheme="majorHAnsi" w:cs="Times New Roman"/>
                <w:sz w:val="20"/>
                <w:szCs w:val="20"/>
                <w:lang w:val="pt-BR"/>
              </w:rPr>
              <w:t xml:space="preserve"> de 2020</w:t>
            </w:r>
          </w:p>
        </w:tc>
      </w:tr>
      <w:tr w:rsidR="001616F5" w:rsidRPr="00A15CA7" w14:paraId="0DF1BB2D" w14:textId="77777777">
        <w:trPr>
          <w:trHeight w:val="330"/>
          <w:jc w:val="center"/>
        </w:trPr>
        <w:tc>
          <w:tcPr>
            <w:tcW w:w="2376" w:type="dxa"/>
            <w:shd w:val="clear" w:color="auto" w:fill="D9D9D9" w:themeFill="background1" w:themeFillShade="D9"/>
            <w:vAlign w:val="center"/>
          </w:tcPr>
          <w:p w14:paraId="34DB5CB8"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LOCAL:</w:t>
            </w:r>
          </w:p>
        </w:tc>
        <w:tc>
          <w:tcPr>
            <w:tcW w:w="7812" w:type="dxa"/>
            <w:gridSpan w:val="2"/>
            <w:shd w:val="clear" w:color="auto" w:fill="auto"/>
            <w:vAlign w:val="center"/>
          </w:tcPr>
          <w:p w14:paraId="5E80CAD2"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[reunião realizada em ambiente virtual, através de videoconferência]</w:t>
            </w:r>
          </w:p>
        </w:tc>
      </w:tr>
      <w:tr w:rsidR="001616F5" w14:paraId="29D7FB4E" w14:textId="77777777">
        <w:trPr>
          <w:trHeight w:val="330"/>
          <w:jc w:val="center"/>
        </w:trPr>
        <w:tc>
          <w:tcPr>
            <w:tcW w:w="2376" w:type="dxa"/>
            <w:shd w:val="clear" w:color="auto" w:fill="D9D9D9" w:themeFill="background1" w:themeFillShade="D9"/>
            <w:vAlign w:val="center"/>
          </w:tcPr>
          <w:p w14:paraId="0DA65B82"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HORÁRIO:</w:t>
            </w:r>
          </w:p>
        </w:tc>
        <w:tc>
          <w:tcPr>
            <w:tcW w:w="7812" w:type="dxa"/>
            <w:gridSpan w:val="2"/>
            <w:shd w:val="clear" w:color="auto" w:fill="auto"/>
            <w:vAlign w:val="center"/>
          </w:tcPr>
          <w:p w14:paraId="42113982" w14:textId="071F3126"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9h30min – 1</w:t>
            </w:r>
            <w:r w:rsidR="004B3818">
              <w:rPr>
                <w:rFonts w:asciiTheme="majorHAnsi" w:hAnsiTheme="majorHAnsi" w:cs="Times New Roman"/>
                <w:sz w:val="20"/>
                <w:szCs w:val="20"/>
                <w:lang w:val="pt-BR"/>
              </w:rPr>
              <w:t>7</w:t>
            </w:r>
            <w:r>
              <w:rPr>
                <w:rFonts w:asciiTheme="majorHAnsi" w:hAnsiTheme="majorHAnsi" w:cs="Times New Roman"/>
                <w:sz w:val="20"/>
                <w:szCs w:val="20"/>
                <w:lang w:val="pt-BR"/>
              </w:rPr>
              <w:t>h00min</w:t>
            </w:r>
          </w:p>
        </w:tc>
      </w:tr>
      <w:tr w:rsidR="001616F5" w14:paraId="2B6284C3" w14:textId="77777777">
        <w:trPr>
          <w:trHeight w:val="85"/>
          <w:jc w:val="center"/>
        </w:trPr>
        <w:tc>
          <w:tcPr>
            <w:tcW w:w="10188" w:type="dxa"/>
            <w:gridSpan w:val="3"/>
            <w:tcBorders>
              <w:left w:val="nil"/>
              <w:right w:val="nil"/>
            </w:tcBorders>
            <w:shd w:val="clear" w:color="auto" w:fill="auto"/>
            <w:vAlign w:val="center"/>
          </w:tcPr>
          <w:p w14:paraId="5DD0B953" w14:textId="77777777" w:rsidR="001616F5" w:rsidRDefault="001616F5">
            <w:pPr>
              <w:widowControl/>
              <w:suppressLineNumbers/>
              <w:jc w:val="both"/>
              <w:rPr>
                <w:rFonts w:asciiTheme="majorHAnsi" w:hAnsiTheme="majorHAnsi" w:cs="Times New Roman"/>
                <w:sz w:val="10"/>
                <w:szCs w:val="10"/>
                <w:lang w:val="pt-BR"/>
              </w:rPr>
            </w:pPr>
          </w:p>
        </w:tc>
      </w:tr>
      <w:tr w:rsidR="001616F5" w14:paraId="7E9BA1E2" w14:textId="77777777">
        <w:trPr>
          <w:trHeight w:val="330"/>
          <w:jc w:val="center"/>
        </w:trPr>
        <w:tc>
          <w:tcPr>
            <w:tcW w:w="10188" w:type="dxa"/>
            <w:gridSpan w:val="3"/>
            <w:shd w:val="clear" w:color="auto" w:fill="D9D9D9" w:themeFill="background1" w:themeFillShade="D9"/>
            <w:vAlign w:val="center"/>
          </w:tcPr>
          <w:p w14:paraId="7D8BFDFC"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 PARTICIPAÇÃO:</w:t>
            </w:r>
          </w:p>
        </w:tc>
      </w:tr>
      <w:tr w:rsidR="001616F5" w:rsidRPr="00A15CA7" w14:paraId="4BB2A53D" w14:textId="77777777" w:rsidTr="004B3818">
        <w:trPr>
          <w:trHeight w:val="330"/>
          <w:jc w:val="center"/>
        </w:trPr>
        <w:tc>
          <w:tcPr>
            <w:tcW w:w="2376" w:type="dxa"/>
            <w:shd w:val="clear" w:color="auto" w:fill="D9D9D9" w:themeFill="background1" w:themeFillShade="D9"/>
            <w:vAlign w:val="center"/>
          </w:tcPr>
          <w:p w14:paraId="339E4653"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PRESIDIDA POR:</w:t>
            </w:r>
          </w:p>
        </w:tc>
        <w:tc>
          <w:tcPr>
            <w:tcW w:w="3573" w:type="dxa"/>
            <w:shd w:val="clear" w:color="auto" w:fill="auto"/>
            <w:vAlign w:val="center"/>
          </w:tcPr>
          <w:p w14:paraId="59FCB54B"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Ademir Nogueira de Ávila</w:t>
            </w:r>
          </w:p>
        </w:tc>
        <w:tc>
          <w:tcPr>
            <w:tcW w:w="4239" w:type="dxa"/>
            <w:shd w:val="clear" w:color="auto" w:fill="auto"/>
            <w:vAlign w:val="center"/>
          </w:tcPr>
          <w:p w14:paraId="4EC3E19A" w14:textId="77777777" w:rsidR="001616F5" w:rsidRDefault="008656E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 da CEP-CAU/MG</w:t>
            </w:r>
          </w:p>
        </w:tc>
      </w:tr>
      <w:tr w:rsidR="004B3818" w:rsidRPr="00A15CA7" w14:paraId="7B0A5A7D" w14:textId="77777777" w:rsidTr="004B3818">
        <w:trPr>
          <w:trHeight w:val="330"/>
          <w:jc w:val="center"/>
        </w:trPr>
        <w:tc>
          <w:tcPr>
            <w:tcW w:w="2376" w:type="dxa"/>
            <w:vMerge w:val="restart"/>
            <w:shd w:val="clear" w:color="auto" w:fill="D9D9D9" w:themeFill="background1" w:themeFillShade="D9"/>
            <w:vAlign w:val="center"/>
          </w:tcPr>
          <w:p w14:paraId="1F79FC44" w14:textId="77777777"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PARTICIPANTES:</w:t>
            </w:r>
          </w:p>
        </w:tc>
        <w:tc>
          <w:tcPr>
            <w:tcW w:w="3573" w:type="dxa"/>
            <w:shd w:val="clear" w:color="auto" w:fill="auto"/>
            <w:vAlign w:val="center"/>
          </w:tcPr>
          <w:p w14:paraId="25CF6DC8" w14:textId="77777777" w:rsidR="004B3818" w:rsidRDefault="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Maria Edwirges Sobreira Leal</w:t>
            </w:r>
          </w:p>
        </w:tc>
        <w:tc>
          <w:tcPr>
            <w:tcW w:w="4239" w:type="dxa"/>
            <w:shd w:val="clear" w:color="auto" w:fill="auto"/>
            <w:vAlign w:val="center"/>
          </w:tcPr>
          <w:p w14:paraId="21B36A86" w14:textId="77777777"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Coordenadora Adjunta da CEP-CAU/MG</w:t>
            </w:r>
          </w:p>
        </w:tc>
      </w:tr>
      <w:tr w:rsidR="004B3818" w:rsidRPr="00A15CA7" w14:paraId="758857CB" w14:textId="77777777" w:rsidTr="004B3818">
        <w:trPr>
          <w:trHeight w:val="330"/>
          <w:jc w:val="center"/>
        </w:trPr>
        <w:tc>
          <w:tcPr>
            <w:tcW w:w="2376" w:type="dxa"/>
            <w:vMerge/>
            <w:shd w:val="clear" w:color="auto" w:fill="D9D9D9" w:themeFill="background1" w:themeFillShade="D9"/>
            <w:vAlign w:val="center"/>
          </w:tcPr>
          <w:p w14:paraId="573E5602" w14:textId="77777777" w:rsidR="004B3818" w:rsidRDefault="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0D767A73" w14:textId="4BC91339" w:rsidR="004B3818" w:rsidRDefault="00AF472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Fábio Almeida Vieira</w:t>
            </w:r>
          </w:p>
        </w:tc>
        <w:tc>
          <w:tcPr>
            <w:tcW w:w="4239" w:type="dxa"/>
            <w:shd w:val="clear" w:color="auto" w:fill="auto"/>
            <w:vAlign w:val="center"/>
          </w:tcPr>
          <w:p w14:paraId="15443A96" w14:textId="185C2DF2"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Membro </w:t>
            </w:r>
            <w:r w:rsidR="00AF4728">
              <w:rPr>
                <w:rFonts w:asciiTheme="majorHAnsi" w:hAnsiTheme="majorHAnsi" w:cs="Times New Roman"/>
                <w:sz w:val="20"/>
                <w:szCs w:val="20"/>
                <w:lang w:val="pt-BR"/>
              </w:rPr>
              <w:t xml:space="preserve">Titular </w:t>
            </w:r>
            <w:r>
              <w:rPr>
                <w:rFonts w:asciiTheme="majorHAnsi" w:hAnsiTheme="majorHAnsi" w:cs="Times New Roman"/>
                <w:sz w:val="20"/>
                <w:szCs w:val="20"/>
                <w:lang w:val="pt-BR"/>
              </w:rPr>
              <w:t>da CEP-CAU/MG</w:t>
            </w:r>
          </w:p>
        </w:tc>
      </w:tr>
      <w:tr w:rsidR="004B3818" w:rsidRPr="00A15CA7" w14:paraId="5D18D781" w14:textId="77777777" w:rsidTr="004B3818">
        <w:trPr>
          <w:trHeight w:val="330"/>
          <w:jc w:val="center"/>
        </w:trPr>
        <w:tc>
          <w:tcPr>
            <w:tcW w:w="2376" w:type="dxa"/>
            <w:vMerge/>
            <w:shd w:val="clear" w:color="auto" w:fill="D9D9D9" w:themeFill="background1" w:themeFillShade="D9"/>
            <w:vAlign w:val="center"/>
          </w:tcPr>
          <w:p w14:paraId="0A9CF5A5" w14:textId="77777777" w:rsidR="004B3818" w:rsidRDefault="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428867D3" w14:textId="2C3A1875" w:rsidR="004B3818" w:rsidRDefault="00AF4728">
            <w:pPr>
              <w:widowControl/>
              <w:suppressLineNumbers/>
              <w:jc w:val="both"/>
              <w:rPr>
                <w:rFonts w:asciiTheme="majorHAnsi" w:hAnsiTheme="majorHAnsi" w:cs="Times New Roman"/>
                <w:b/>
                <w:sz w:val="20"/>
                <w:szCs w:val="20"/>
                <w:lang w:val="pt-BR"/>
              </w:rPr>
            </w:pPr>
            <w:r w:rsidRPr="00AF4728">
              <w:rPr>
                <w:rFonts w:asciiTheme="majorHAnsi" w:hAnsiTheme="majorHAnsi" w:cs="Times New Roman"/>
                <w:b/>
                <w:sz w:val="20"/>
                <w:szCs w:val="20"/>
                <w:lang w:val="pt-BR"/>
              </w:rPr>
              <w:t>Marcondes Nunes de Freitas</w:t>
            </w:r>
          </w:p>
        </w:tc>
        <w:tc>
          <w:tcPr>
            <w:tcW w:w="4239" w:type="dxa"/>
            <w:shd w:val="clear" w:color="auto" w:fill="auto"/>
            <w:vAlign w:val="center"/>
          </w:tcPr>
          <w:p w14:paraId="0603DBED" w14:textId="235B4A2C" w:rsidR="004B3818" w:rsidRDefault="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Membro </w:t>
            </w:r>
            <w:r w:rsidR="00AF4728">
              <w:rPr>
                <w:rFonts w:asciiTheme="majorHAnsi" w:hAnsiTheme="majorHAnsi" w:cs="Times New Roman"/>
                <w:sz w:val="20"/>
                <w:szCs w:val="20"/>
                <w:lang w:val="pt-BR"/>
              </w:rPr>
              <w:t xml:space="preserve">Suplente </w:t>
            </w:r>
            <w:r>
              <w:rPr>
                <w:rFonts w:asciiTheme="majorHAnsi" w:hAnsiTheme="majorHAnsi" w:cs="Times New Roman"/>
                <w:sz w:val="20"/>
                <w:szCs w:val="20"/>
                <w:lang w:val="pt-BR"/>
              </w:rPr>
              <w:t>da CEP-CAU/MG</w:t>
            </w:r>
          </w:p>
        </w:tc>
      </w:tr>
      <w:tr w:rsidR="004B3818" w:rsidRPr="00A15CA7" w14:paraId="7B53C24B" w14:textId="77777777" w:rsidTr="004B3818">
        <w:trPr>
          <w:trHeight w:val="330"/>
          <w:jc w:val="center"/>
        </w:trPr>
        <w:tc>
          <w:tcPr>
            <w:tcW w:w="2376" w:type="dxa"/>
            <w:vMerge/>
            <w:shd w:val="clear" w:color="auto" w:fill="D9D9D9" w:themeFill="background1" w:themeFillShade="D9"/>
            <w:vAlign w:val="center"/>
          </w:tcPr>
          <w:p w14:paraId="1D1069D9" w14:textId="1DCC1250" w:rsidR="004B3818" w:rsidRDefault="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2262E3AD" w14:textId="77777777" w:rsidR="004B3818" w:rsidRDefault="004B3818">
            <w:pPr>
              <w:widowControl/>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Samira de Almeida Houri</w:t>
            </w:r>
          </w:p>
        </w:tc>
        <w:tc>
          <w:tcPr>
            <w:tcW w:w="4239" w:type="dxa"/>
            <w:shd w:val="clear" w:color="auto" w:fill="auto"/>
            <w:vAlign w:val="center"/>
          </w:tcPr>
          <w:p w14:paraId="19B97896" w14:textId="4A40710A" w:rsidR="004B3818" w:rsidRPr="00332B42" w:rsidRDefault="004B3818">
            <w:pPr>
              <w:widowControl/>
              <w:suppressLineNumbers/>
              <w:jc w:val="both"/>
              <w:rPr>
                <w:rFonts w:asciiTheme="majorHAnsi" w:eastAsia="Calibri" w:hAnsiTheme="majorHAnsi" w:cs="Times New Roman"/>
                <w:bCs/>
                <w:sz w:val="20"/>
                <w:szCs w:val="20"/>
                <w:lang w:val="pt-BR"/>
              </w:rPr>
            </w:pPr>
            <w:r w:rsidRPr="00332B42">
              <w:rPr>
                <w:rFonts w:asciiTheme="majorHAnsi" w:eastAsia="Calibri" w:hAnsiTheme="majorHAnsi" w:cs="Times New Roman"/>
                <w:bCs/>
                <w:sz w:val="20"/>
                <w:szCs w:val="20"/>
                <w:lang w:val="pt-BR"/>
              </w:rPr>
              <w:t>Gerente Técnica e de Fiscalização do CAU/MG</w:t>
            </w:r>
          </w:p>
        </w:tc>
      </w:tr>
      <w:tr w:rsidR="004B3818" w:rsidRPr="00A15CA7" w14:paraId="7CE41546" w14:textId="77777777" w:rsidTr="004B3818">
        <w:trPr>
          <w:trHeight w:val="330"/>
          <w:jc w:val="center"/>
        </w:trPr>
        <w:tc>
          <w:tcPr>
            <w:tcW w:w="2376" w:type="dxa"/>
            <w:vMerge/>
            <w:shd w:val="clear" w:color="auto" w:fill="D9D9D9" w:themeFill="background1" w:themeFillShade="D9"/>
            <w:vAlign w:val="center"/>
          </w:tcPr>
          <w:p w14:paraId="12FC6A17" w14:textId="77777777" w:rsidR="004B3818" w:rsidRDefault="004B3818" w:rsidP="004B3818">
            <w:pPr>
              <w:widowControl/>
              <w:suppressLineNumbers/>
              <w:jc w:val="both"/>
              <w:rPr>
                <w:rFonts w:asciiTheme="majorHAnsi" w:hAnsiTheme="majorHAnsi" w:cs="Times New Roman"/>
                <w:sz w:val="20"/>
                <w:szCs w:val="20"/>
                <w:lang w:val="pt-BR"/>
              </w:rPr>
            </w:pPr>
          </w:p>
        </w:tc>
        <w:tc>
          <w:tcPr>
            <w:tcW w:w="3573" w:type="dxa"/>
            <w:shd w:val="clear" w:color="auto" w:fill="auto"/>
            <w:vAlign w:val="center"/>
          </w:tcPr>
          <w:p w14:paraId="787EBE62" w14:textId="1003EDFF" w:rsidR="004B3818" w:rsidRDefault="004B3818" w:rsidP="004B3818">
            <w:pPr>
              <w:widowControl/>
              <w:suppressLineNumbers/>
              <w:jc w:val="both"/>
              <w:rPr>
                <w:rFonts w:ascii="Cambria" w:eastAsia="Calibri" w:hAnsi="Cambria" w:cs="Times New Roman"/>
                <w:b/>
                <w:sz w:val="20"/>
                <w:szCs w:val="20"/>
                <w:lang w:val="pt-BR"/>
              </w:rPr>
            </w:pPr>
            <w:r w:rsidRPr="00A82A96">
              <w:rPr>
                <w:rFonts w:ascii="Cambria" w:eastAsia="Calibri" w:hAnsi="Cambria" w:cs="Times New Roman"/>
                <w:b/>
                <w:sz w:val="20"/>
                <w:szCs w:val="20"/>
                <w:lang w:val="pt-BR"/>
              </w:rPr>
              <w:t>Luana Pascoal Goncalves Rodrigues</w:t>
            </w:r>
          </w:p>
        </w:tc>
        <w:tc>
          <w:tcPr>
            <w:tcW w:w="4239" w:type="dxa"/>
            <w:shd w:val="clear" w:color="auto" w:fill="auto"/>
            <w:vAlign w:val="center"/>
          </w:tcPr>
          <w:p w14:paraId="315AA120" w14:textId="01CDFCF9" w:rsidR="004B3818" w:rsidRPr="00332B42" w:rsidRDefault="004B3818" w:rsidP="004B3818">
            <w:pPr>
              <w:widowControl/>
              <w:suppressLineNumbers/>
              <w:jc w:val="both"/>
              <w:rPr>
                <w:rFonts w:asciiTheme="majorHAnsi" w:eastAsia="Calibri" w:hAnsiTheme="majorHAnsi" w:cs="Times New Roman"/>
                <w:bCs/>
                <w:sz w:val="20"/>
                <w:szCs w:val="20"/>
                <w:lang w:val="pt-BR"/>
              </w:rPr>
            </w:pPr>
            <w:r>
              <w:rPr>
                <w:rFonts w:asciiTheme="majorHAnsi" w:eastAsia="Calibri" w:hAnsiTheme="majorHAnsi" w:cs="Times New Roman"/>
                <w:bCs/>
                <w:sz w:val="20"/>
                <w:szCs w:val="20"/>
                <w:lang w:val="pt-BR"/>
              </w:rPr>
              <w:t>Coordenadora</w:t>
            </w:r>
            <w:r w:rsidRPr="00332B42">
              <w:rPr>
                <w:rFonts w:asciiTheme="majorHAnsi" w:eastAsia="Calibri" w:hAnsiTheme="majorHAnsi" w:cs="Times New Roman"/>
                <w:bCs/>
                <w:sz w:val="20"/>
                <w:szCs w:val="20"/>
                <w:lang w:val="pt-BR"/>
              </w:rPr>
              <w:t xml:space="preserve"> de Fiscalização do CAU/MG</w:t>
            </w:r>
          </w:p>
        </w:tc>
      </w:tr>
      <w:tr w:rsidR="004B3818" w:rsidRPr="00A15CA7" w14:paraId="0DE962E0" w14:textId="77777777">
        <w:trPr>
          <w:trHeight w:val="330"/>
          <w:jc w:val="center"/>
        </w:trPr>
        <w:tc>
          <w:tcPr>
            <w:tcW w:w="2376" w:type="dxa"/>
            <w:shd w:val="clear" w:color="auto" w:fill="D9D9D9" w:themeFill="background1" w:themeFillShade="D9"/>
            <w:vAlign w:val="center"/>
          </w:tcPr>
          <w:p w14:paraId="4569672F" w14:textId="295B098C" w:rsidR="004B3818" w:rsidRDefault="004B3818" w:rsidP="004B3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ASSESSORIA:</w:t>
            </w:r>
          </w:p>
        </w:tc>
        <w:tc>
          <w:tcPr>
            <w:tcW w:w="7812" w:type="dxa"/>
            <w:gridSpan w:val="2"/>
            <w:shd w:val="clear" w:color="auto" w:fill="auto"/>
            <w:vAlign w:val="center"/>
          </w:tcPr>
          <w:p w14:paraId="77A84844" w14:textId="13C18993" w:rsidR="004B3818" w:rsidRDefault="004B3818" w:rsidP="004B3818">
            <w:pPr>
              <w:widowControl/>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Tadeu Araújo de Souza Santos</w:t>
            </w:r>
          </w:p>
        </w:tc>
      </w:tr>
      <w:tr w:rsidR="004B3818" w:rsidRPr="00A15CA7" w14:paraId="7450D006" w14:textId="77777777">
        <w:trPr>
          <w:trHeight w:val="85"/>
          <w:jc w:val="center"/>
        </w:trPr>
        <w:tc>
          <w:tcPr>
            <w:tcW w:w="10188" w:type="dxa"/>
            <w:gridSpan w:val="3"/>
            <w:tcBorders>
              <w:left w:val="nil"/>
              <w:right w:val="nil"/>
            </w:tcBorders>
            <w:shd w:val="clear" w:color="auto" w:fill="auto"/>
            <w:vAlign w:val="center"/>
          </w:tcPr>
          <w:p w14:paraId="5751B31A" w14:textId="77777777" w:rsidR="004B3818" w:rsidRDefault="004B3818" w:rsidP="004B3818">
            <w:pPr>
              <w:widowControl/>
              <w:suppressLineNumbers/>
              <w:jc w:val="both"/>
              <w:rPr>
                <w:rFonts w:asciiTheme="majorHAnsi" w:hAnsiTheme="majorHAnsi" w:cs="Times New Roman"/>
                <w:sz w:val="10"/>
                <w:szCs w:val="10"/>
                <w:lang w:val="pt-BR"/>
              </w:rPr>
            </w:pPr>
          </w:p>
        </w:tc>
      </w:tr>
      <w:tr w:rsidR="004B3818" w14:paraId="28DCE6FA" w14:textId="77777777">
        <w:trPr>
          <w:trHeight w:val="330"/>
          <w:jc w:val="center"/>
        </w:trPr>
        <w:tc>
          <w:tcPr>
            <w:tcW w:w="10188" w:type="dxa"/>
            <w:gridSpan w:val="3"/>
            <w:shd w:val="clear" w:color="auto" w:fill="D9D9D9" w:themeFill="background1" w:themeFillShade="D9"/>
            <w:vAlign w:val="center"/>
          </w:tcPr>
          <w:p w14:paraId="5B495F61" w14:textId="77777777" w:rsidR="004B3818" w:rsidRDefault="004B3818" w:rsidP="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 PAUTA:</w:t>
            </w:r>
          </w:p>
        </w:tc>
      </w:tr>
      <w:tr w:rsidR="004B3818" w:rsidRPr="00A15CA7" w14:paraId="59484974" w14:textId="77777777">
        <w:trPr>
          <w:trHeight w:val="801"/>
          <w:jc w:val="center"/>
        </w:trPr>
        <w:tc>
          <w:tcPr>
            <w:tcW w:w="10188" w:type="dxa"/>
            <w:gridSpan w:val="3"/>
            <w:shd w:val="clear" w:color="auto" w:fill="auto"/>
            <w:vAlign w:val="center"/>
          </w:tcPr>
          <w:p w14:paraId="3D95DD63" w14:textId="77777777" w:rsidR="004B3818" w:rsidRDefault="004B3818" w:rsidP="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Verificação de quórum:</w:t>
            </w:r>
          </w:p>
          <w:p w14:paraId="395AED44" w14:textId="77777777" w:rsidR="004B3818" w:rsidRDefault="004B3818" w:rsidP="004B3818">
            <w:pPr>
              <w:widowControl/>
              <w:suppressLineNumbers/>
              <w:jc w:val="both"/>
              <w:rPr>
                <w:rFonts w:asciiTheme="majorHAnsi" w:hAnsiTheme="majorHAnsi" w:cs="Times New Roman"/>
                <w:b/>
                <w:sz w:val="10"/>
                <w:szCs w:val="10"/>
                <w:lang w:val="pt-BR"/>
              </w:rPr>
            </w:pPr>
          </w:p>
          <w:p w14:paraId="704D1C6C" w14:textId="592AD815" w:rsidR="004B3818" w:rsidRPr="00332B42" w:rsidRDefault="00AF4728" w:rsidP="004B3818">
            <w:pPr>
              <w:widowControl/>
              <w:suppressLineNumbers/>
              <w:jc w:val="both"/>
              <w:rPr>
                <w:lang w:val="pt-BR"/>
              </w:rPr>
            </w:pPr>
            <w:r>
              <w:rPr>
                <w:rFonts w:asciiTheme="majorHAnsi" w:hAnsiTheme="majorHAnsi" w:cs="Times New Roman"/>
                <w:sz w:val="20"/>
                <w:szCs w:val="20"/>
                <w:lang w:val="pt-BR"/>
              </w:rPr>
              <w:t>F</w:t>
            </w:r>
            <w:r w:rsidR="004B3818">
              <w:rPr>
                <w:rFonts w:asciiTheme="majorHAnsi" w:hAnsiTheme="majorHAnsi" w:cs="Times New Roman"/>
                <w:sz w:val="20"/>
                <w:szCs w:val="20"/>
                <w:lang w:val="pt-BR"/>
              </w:rPr>
              <w:t>oi verificado o quórum às 1</w:t>
            </w:r>
            <w:r>
              <w:rPr>
                <w:rFonts w:asciiTheme="majorHAnsi" w:hAnsiTheme="majorHAnsi" w:cs="Times New Roman"/>
                <w:sz w:val="20"/>
                <w:szCs w:val="20"/>
                <w:lang w:val="pt-BR"/>
              </w:rPr>
              <w:t>0</w:t>
            </w:r>
            <w:r w:rsidR="004B3818">
              <w:rPr>
                <w:rFonts w:asciiTheme="majorHAnsi" w:hAnsiTheme="majorHAnsi" w:cs="Times New Roman"/>
                <w:sz w:val="20"/>
                <w:szCs w:val="20"/>
                <w:lang w:val="pt-BR"/>
              </w:rPr>
              <w:t>h</w:t>
            </w:r>
            <w:r>
              <w:rPr>
                <w:rFonts w:asciiTheme="majorHAnsi" w:hAnsiTheme="majorHAnsi" w:cs="Times New Roman"/>
                <w:sz w:val="20"/>
                <w:szCs w:val="20"/>
                <w:lang w:val="pt-BR"/>
              </w:rPr>
              <w:t>27</w:t>
            </w:r>
            <w:r w:rsidR="0046150B">
              <w:rPr>
                <w:rFonts w:asciiTheme="majorHAnsi" w:hAnsiTheme="majorHAnsi" w:cs="Times New Roman"/>
                <w:sz w:val="20"/>
                <w:szCs w:val="20"/>
                <w:lang w:val="pt-BR"/>
              </w:rPr>
              <w:t>min</w:t>
            </w:r>
            <w:r w:rsidR="004B3818">
              <w:rPr>
                <w:rFonts w:ascii="Cambria;serif" w:hAnsi="Cambria;serif" w:cs="Times New Roman"/>
                <w:color w:val="000000"/>
                <w:sz w:val="20"/>
                <w:szCs w:val="20"/>
                <w:lang w:val="pt-BR"/>
              </w:rPr>
              <w:t>.</w:t>
            </w:r>
          </w:p>
        </w:tc>
      </w:tr>
      <w:tr w:rsidR="004B3818" w:rsidRPr="00AF4728" w14:paraId="7AC928AC" w14:textId="77777777" w:rsidTr="00332B42">
        <w:trPr>
          <w:trHeight w:val="960"/>
          <w:jc w:val="center"/>
        </w:trPr>
        <w:tc>
          <w:tcPr>
            <w:tcW w:w="10188" w:type="dxa"/>
            <w:gridSpan w:val="3"/>
            <w:shd w:val="clear" w:color="auto" w:fill="auto"/>
            <w:vAlign w:val="center"/>
          </w:tcPr>
          <w:p w14:paraId="4536C879" w14:textId="77777777" w:rsidR="004B3818" w:rsidRDefault="004B3818" w:rsidP="004B3818">
            <w:pPr>
              <w:spacing w:line="276" w:lineRule="auto"/>
              <w:rPr>
                <w:rFonts w:asciiTheme="majorHAnsi" w:hAnsiTheme="majorHAnsi"/>
                <w:b/>
                <w:sz w:val="10"/>
                <w:szCs w:val="10"/>
                <w:lang w:val="pt-BR"/>
              </w:rPr>
            </w:pPr>
          </w:p>
          <w:p w14:paraId="61B5A1EC" w14:textId="77777777" w:rsidR="004B3818" w:rsidRDefault="004B3818" w:rsidP="004B3818">
            <w:pPr>
              <w:spacing w:line="276" w:lineRule="auto"/>
            </w:pPr>
            <w:r>
              <w:rPr>
                <w:rFonts w:asciiTheme="majorHAnsi" w:hAnsiTheme="majorHAnsi"/>
                <w:b/>
                <w:sz w:val="20"/>
                <w:szCs w:val="20"/>
                <w:lang w:val="pt-BR"/>
              </w:rPr>
              <w:t>Ordem do Dia:</w:t>
            </w:r>
          </w:p>
          <w:p w14:paraId="1011BE05" w14:textId="77777777" w:rsidR="004B3818" w:rsidRDefault="004B3818" w:rsidP="004B3818">
            <w:pPr>
              <w:spacing w:line="276" w:lineRule="auto"/>
              <w:rPr>
                <w:rFonts w:asciiTheme="majorHAnsi" w:hAnsiTheme="majorHAnsi"/>
                <w:b/>
                <w:sz w:val="10"/>
                <w:szCs w:val="10"/>
                <w:lang w:val="pt-BR"/>
              </w:rPr>
            </w:pPr>
          </w:p>
          <w:p w14:paraId="7821DF22" w14:textId="593E1B60" w:rsidR="000F5FD9" w:rsidRDefault="000F5FD9" w:rsidP="00AF4728">
            <w:pPr>
              <w:pStyle w:val="PargrafodaLista"/>
              <w:numPr>
                <w:ilvl w:val="0"/>
                <w:numId w:val="3"/>
              </w:numPr>
              <w:spacing w:line="276" w:lineRule="auto"/>
              <w:rPr>
                <w:rFonts w:asciiTheme="majorHAnsi" w:hAnsiTheme="majorHAnsi"/>
                <w:sz w:val="20"/>
                <w:szCs w:val="20"/>
                <w:lang w:val="pt-BR"/>
              </w:rPr>
            </w:pPr>
            <w:r w:rsidRPr="00CA2A8E">
              <w:rPr>
                <w:rFonts w:asciiTheme="majorHAnsi" w:hAnsiTheme="majorHAnsi"/>
                <w:sz w:val="20"/>
                <w:szCs w:val="20"/>
                <w:lang w:val="pt-BR"/>
              </w:rPr>
              <w:t>Apreciação e aprovação de Relatórios de Processos de Fiscalização;</w:t>
            </w:r>
          </w:p>
          <w:p w14:paraId="3EAD1B73" w14:textId="77777777" w:rsidR="00AF4728" w:rsidRPr="00AF4728" w:rsidRDefault="00AF4728" w:rsidP="00AF4728">
            <w:pPr>
              <w:spacing w:line="276" w:lineRule="auto"/>
              <w:ind w:left="360"/>
              <w:rPr>
                <w:rFonts w:asciiTheme="majorHAnsi" w:hAnsiTheme="majorHAnsi"/>
                <w:sz w:val="10"/>
                <w:szCs w:val="10"/>
                <w:lang w:val="pt-BR"/>
              </w:rPr>
            </w:pPr>
          </w:p>
          <w:p w14:paraId="07C2F5BB" w14:textId="77777777" w:rsidR="00AF4728" w:rsidRPr="00AF4728" w:rsidRDefault="00AF4728" w:rsidP="00AF4728">
            <w:pPr>
              <w:pStyle w:val="PargrafodaLista"/>
              <w:numPr>
                <w:ilvl w:val="0"/>
                <w:numId w:val="3"/>
              </w:numPr>
              <w:spacing w:line="276" w:lineRule="auto"/>
              <w:rPr>
                <w:rFonts w:asciiTheme="majorHAnsi" w:hAnsiTheme="majorHAnsi"/>
                <w:sz w:val="20"/>
                <w:szCs w:val="20"/>
                <w:lang w:val="pt-BR"/>
              </w:rPr>
            </w:pPr>
            <w:r w:rsidRPr="00AF4728">
              <w:rPr>
                <w:rFonts w:asciiTheme="majorHAnsi" w:hAnsiTheme="majorHAnsi"/>
                <w:sz w:val="20"/>
                <w:szCs w:val="20"/>
                <w:lang w:val="pt-BR"/>
              </w:rPr>
              <w:t>Assuntos oriundos da GERTEF:</w:t>
            </w:r>
          </w:p>
          <w:p w14:paraId="69B10EE8" w14:textId="189E7889" w:rsid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Alteração Resolução CAU/BR nº 184/2019: envio de ofício para comunicação de baixa de RRT nos casos de baixa de ofício de pessoa jurídica;</w:t>
            </w:r>
          </w:p>
          <w:p w14:paraId="1282CF6D" w14:textId="77777777" w:rsidR="00AF4728" w:rsidRPr="00AF4728" w:rsidRDefault="00AF4728" w:rsidP="00AF4728">
            <w:pPr>
              <w:spacing w:line="276" w:lineRule="auto"/>
              <w:ind w:left="360"/>
              <w:rPr>
                <w:rFonts w:asciiTheme="majorHAnsi" w:hAnsiTheme="majorHAnsi"/>
                <w:sz w:val="10"/>
                <w:szCs w:val="10"/>
                <w:lang w:val="pt-BR"/>
              </w:rPr>
            </w:pPr>
          </w:p>
          <w:p w14:paraId="4895BF22" w14:textId="77777777" w:rsidR="00AF4728" w:rsidRPr="00AF4728" w:rsidRDefault="00AF4728" w:rsidP="00AF4728">
            <w:pPr>
              <w:pStyle w:val="PargrafodaLista"/>
              <w:numPr>
                <w:ilvl w:val="0"/>
                <w:numId w:val="3"/>
              </w:numPr>
              <w:spacing w:line="276" w:lineRule="auto"/>
              <w:rPr>
                <w:rFonts w:asciiTheme="majorHAnsi" w:hAnsiTheme="majorHAnsi"/>
                <w:sz w:val="20"/>
                <w:szCs w:val="20"/>
                <w:lang w:val="pt-BR"/>
              </w:rPr>
            </w:pPr>
            <w:r w:rsidRPr="00AF4728">
              <w:rPr>
                <w:rFonts w:asciiTheme="majorHAnsi" w:hAnsiTheme="majorHAnsi"/>
                <w:sz w:val="20"/>
                <w:szCs w:val="20"/>
                <w:lang w:val="pt-BR"/>
              </w:rPr>
              <w:t>Consolidação de Procedimentos da GERTEF</w:t>
            </w:r>
          </w:p>
          <w:p w14:paraId="33D267EC" w14:textId="26ECE8E5"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Alteração de Registros Profissionais;</w:t>
            </w:r>
          </w:p>
          <w:p w14:paraId="29E9AA25"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Registro e Atualização Cadastral de Empresas;</w:t>
            </w:r>
          </w:p>
          <w:p w14:paraId="04310604"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RRT Extemporâneo;</w:t>
            </w:r>
          </w:p>
          <w:p w14:paraId="67C0803F"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RRT de Atividades no Exterior;</w:t>
            </w:r>
          </w:p>
          <w:p w14:paraId="5F04E4F3"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Baixa, Cancelamento e Nulidade RRT;</w:t>
            </w:r>
          </w:p>
          <w:p w14:paraId="59D025FA"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Registros de Direito Autoral;</w:t>
            </w:r>
          </w:p>
          <w:p w14:paraId="214DD0A6"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Certidões de Acervo Técnico com Atestado.</w:t>
            </w:r>
          </w:p>
          <w:p w14:paraId="414A2834" w14:textId="77777777" w:rsidR="00AF4728" w:rsidRPr="00AF4728" w:rsidRDefault="00AF4728" w:rsidP="00AF4728">
            <w:pPr>
              <w:spacing w:line="276" w:lineRule="auto"/>
              <w:ind w:left="360"/>
              <w:rPr>
                <w:rFonts w:asciiTheme="majorHAnsi" w:hAnsiTheme="majorHAnsi"/>
                <w:sz w:val="10"/>
                <w:szCs w:val="10"/>
                <w:lang w:val="pt-BR"/>
              </w:rPr>
            </w:pPr>
          </w:p>
          <w:p w14:paraId="54F519B2" w14:textId="36F93F57" w:rsidR="00AF4728" w:rsidRPr="00AF4728" w:rsidRDefault="00AF4728" w:rsidP="00AF4728">
            <w:pPr>
              <w:pStyle w:val="PargrafodaLista"/>
              <w:numPr>
                <w:ilvl w:val="0"/>
                <w:numId w:val="3"/>
              </w:numPr>
              <w:spacing w:line="276" w:lineRule="auto"/>
              <w:rPr>
                <w:rFonts w:asciiTheme="majorHAnsi" w:hAnsiTheme="majorHAnsi"/>
                <w:sz w:val="20"/>
                <w:szCs w:val="20"/>
                <w:lang w:val="pt-BR"/>
              </w:rPr>
            </w:pPr>
            <w:r w:rsidRPr="00AF4728">
              <w:rPr>
                <w:rFonts w:asciiTheme="majorHAnsi" w:hAnsiTheme="majorHAnsi"/>
                <w:sz w:val="20"/>
                <w:szCs w:val="20"/>
                <w:lang w:val="pt-BR"/>
              </w:rPr>
              <w:t>Solicitação de Manifestação da CEP:</w:t>
            </w:r>
          </w:p>
          <w:p w14:paraId="59E7B474"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Da COA-CAU/MG: Questionamento em Edital de ATHIS sobre emissão de certidão pelo CAU/MG;</w:t>
            </w:r>
          </w:p>
          <w:p w14:paraId="2902AA79"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Da ASSCOM-CAU/MG: Alteração da Cartilha de RRT;</w:t>
            </w:r>
          </w:p>
          <w:p w14:paraId="66529FBF" w14:textId="77777777" w:rsidR="00AF4728" w:rsidRPr="00AF4728" w:rsidRDefault="00AF4728" w:rsidP="00AF4728">
            <w:pPr>
              <w:pStyle w:val="PargrafodaLista"/>
              <w:numPr>
                <w:ilvl w:val="1"/>
                <w:numId w:val="3"/>
              </w:numPr>
              <w:spacing w:line="276" w:lineRule="auto"/>
              <w:ind w:left="1156" w:hanging="425"/>
              <w:rPr>
                <w:rFonts w:asciiTheme="majorHAnsi" w:hAnsiTheme="majorHAnsi"/>
                <w:sz w:val="20"/>
                <w:szCs w:val="20"/>
                <w:lang w:val="pt-BR"/>
              </w:rPr>
            </w:pPr>
            <w:r w:rsidRPr="00AF4728">
              <w:rPr>
                <w:rFonts w:asciiTheme="majorHAnsi" w:hAnsiTheme="majorHAnsi"/>
                <w:sz w:val="20"/>
                <w:szCs w:val="20"/>
                <w:lang w:val="pt-BR"/>
              </w:rPr>
              <w:t>Do TEC-RG-EMP/GERTEF-CAU/MG: Número de Empresas que podem ser imputadas a um mesmo responsável técnico.</w:t>
            </w:r>
          </w:p>
          <w:p w14:paraId="0AC760A5" w14:textId="77777777" w:rsidR="00AF4728" w:rsidRPr="00AF4728" w:rsidRDefault="00AF4728" w:rsidP="00AF4728">
            <w:pPr>
              <w:spacing w:line="276" w:lineRule="auto"/>
              <w:ind w:left="360"/>
              <w:rPr>
                <w:rFonts w:asciiTheme="majorHAnsi" w:hAnsiTheme="majorHAnsi"/>
                <w:sz w:val="10"/>
                <w:szCs w:val="10"/>
                <w:lang w:val="pt-BR"/>
              </w:rPr>
            </w:pPr>
          </w:p>
          <w:p w14:paraId="1DD34FE4" w14:textId="72F35302" w:rsidR="00AF4728" w:rsidRDefault="00AF4728" w:rsidP="00AF4728">
            <w:pPr>
              <w:pStyle w:val="PargrafodaLista"/>
              <w:numPr>
                <w:ilvl w:val="0"/>
                <w:numId w:val="3"/>
              </w:numPr>
              <w:spacing w:line="276" w:lineRule="auto"/>
              <w:rPr>
                <w:rFonts w:asciiTheme="majorHAnsi" w:hAnsiTheme="majorHAnsi"/>
                <w:sz w:val="20"/>
                <w:szCs w:val="20"/>
                <w:lang w:val="pt-BR"/>
              </w:rPr>
            </w:pPr>
            <w:r w:rsidRPr="00AF4728">
              <w:rPr>
                <w:rFonts w:asciiTheme="majorHAnsi" w:hAnsiTheme="majorHAnsi"/>
                <w:sz w:val="20"/>
                <w:szCs w:val="20"/>
                <w:lang w:val="pt-BR"/>
              </w:rPr>
              <w:t>Outros Assuntos.</w:t>
            </w:r>
          </w:p>
          <w:p w14:paraId="2F9B7AF7" w14:textId="77777777" w:rsidR="004B3818" w:rsidRPr="00332B42" w:rsidRDefault="004B3818" w:rsidP="004B3818">
            <w:pPr>
              <w:spacing w:line="276" w:lineRule="auto"/>
              <w:rPr>
                <w:rFonts w:asciiTheme="majorHAnsi" w:hAnsiTheme="majorHAnsi"/>
                <w:sz w:val="10"/>
                <w:szCs w:val="10"/>
                <w:lang w:val="pt-BR"/>
              </w:rPr>
            </w:pPr>
          </w:p>
        </w:tc>
      </w:tr>
      <w:tr w:rsidR="004B3818" w:rsidRPr="00A15CA7" w14:paraId="4AE223AD" w14:textId="77777777">
        <w:trPr>
          <w:trHeight w:val="829"/>
          <w:jc w:val="center"/>
        </w:trPr>
        <w:tc>
          <w:tcPr>
            <w:tcW w:w="10188" w:type="dxa"/>
            <w:gridSpan w:val="3"/>
            <w:shd w:val="clear" w:color="auto" w:fill="auto"/>
          </w:tcPr>
          <w:p w14:paraId="122A519D" w14:textId="77777777" w:rsidR="004B3818" w:rsidRDefault="004B3818" w:rsidP="004B3818">
            <w:pPr>
              <w:widowControl/>
              <w:suppressLineNumbers/>
              <w:jc w:val="both"/>
              <w:rPr>
                <w:rFonts w:asciiTheme="majorHAnsi" w:hAnsiTheme="majorHAnsi" w:cs="Times New Roman"/>
                <w:b/>
                <w:sz w:val="10"/>
                <w:szCs w:val="10"/>
                <w:lang w:val="pt-BR"/>
              </w:rPr>
            </w:pPr>
          </w:p>
          <w:p w14:paraId="7C89A2B6" w14:textId="77777777" w:rsidR="004B3818" w:rsidRDefault="004B3818" w:rsidP="00ED4985">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Comunicados:</w:t>
            </w:r>
          </w:p>
          <w:p w14:paraId="4734268A" w14:textId="77777777" w:rsidR="004B3818" w:rsidRDefault="004B3818" w:rsidP="00ED4985">
            <w:pPr>
              <w:widowControl/>
              <w:suppressLineNumbers/>
              <w:ind w:left="567"/>
              <w:jc w:val="both"/>
              <w:rPr>
                <w:rFonts w:asciiTheme="majorHAnsi" w:hAnsiTheme="majorHAnsi" w:cs="Times New Roman"/>
                <w:b/>
                <w:sz w:val="10"/>
                <w:szCs w:val="10"/>
                <w:lang w:val="pt-BR"/>
              </w:rPr>
            </w:pPr>
          </w:p>
          <w:p w14:paraId="29C71438" w14:textId="77777777" w:rsidR="00AF4728" w:rsidRPr="00AF4728" w:rsidRDefault="00AF4728" w:rsidP="00AF4728">
            <w:pPr>
              <w:widowControl/>
              <w:numPr>
                <w:ilvl w:val="0"/>
                <w:numId w:val="2"/>
              </w:numPr>
              <w:suppressLineNumbers/>
              <w:jc w:val="both"/>
              <w:rPr>
                <w:rFonts w:asciiTheme="majorHAnsi" w:eastAsia="Calibri" w:hAnsiTheme="majorHAnsi" w:cs="Times New Roman"/>
                <w:sz w:val="20"/>
                <w:szCs w:val="20"/>
                <w:lang w:val="pt-BR"/>
              </w:rPr>
            </w:pPr>
            <w:bookmarkStart w:id="0" w:name="docs-internal-guid-ba15ae3f-7fff-858e-83"/>
            <w:bookmarkEnd w:id="0"/>
            <w:r w:rsidRPr="00AF4728">
              <w:rPr>
                <w:rFonts w:asciiTheme="majorHAnsi" w:eastAsia="Calibri" w:hAnsiTheme="majorHAnsi" w:cs="Times New Roman"/>
                <w:sz w:val="20"/>
                <w:szCs w:val="20"/>
                <w:lang w:val="pt-BR"/>
              </w:rPr>
              <w:t>Da Assessoria da Comissão: Respostas do CAU/BR aos questionamentos encaminhados pela CEP-CAU/MG: Protocolo 1122961 (CNAEs em registros de empresas) e Protocolo 1112236 (RDA 1749 - Requalificação)</w:t>
            </w:r>
          </w:p>
          <w:p w14:paraId="5D52C1D0" w14:textId="77777777" w:rsidR="004B3818" w:rsidRDefault="004B3818" w:rsidP="004B3818">
            <w:pPr>
              <w:pStyle w:val="PargrafodaLista"/>
              <w:widowControl/>
              <w:suppressLineNumbers/>
              <w:ind w:left="821"/>
              <w:rPr>
                <w:rFonts w:asciiTheme="majorHAnsi" w:hAnsiTheme="majorHAnsi" w:cs="Times New Roman"/>
                <w:sz w:val="10"/>
                <w:szCs w:val="10"/>
                <w:lang w:val="pt-BR"/>
              </w:rPr>
            </w:pPr>
          </w:p>
        </w:tc>
      </w:tr>
      <w:tr w:rsidR="004B3818" w:rsidRPr="00A15CA7" w14:paraId="19C5E3C6" w14:textId="77777777">
        <w:trPr>
          <w:trHeight w:val="622"/>
          <w:jc w:val="center"/>
        </w:trPr>
        <w:tc>
          <w:tcPr>
            <w:tcW w:w="10188" w:type="dxa"/>
            <w:gridSpan w:val="3"/>
            <w:shd w:val="clear" w:color="auto" w:fill="auto"/>
          </w:tcPr>
          <w:p w14:paraId="607F78E4" w14:textId="77777777" w:rsidR="004B3818" w:rsidRDefault="004B3818" w:rsidP="004B3818">
            <w:pPr>
              <w:widowControl/>
              <w:suppressLineNumbers/>
              <w:jc w:val="both"/>
              <w:rPr>
                <w:rFonts w:asciiTheme="majorHAnsi" w:hAnsiTheme="majorHAnsi" w:cs="Times New Roman"/>
                <w:b/>
                <w:sz w:val="10"/>
                <w:szCs w:val="10"/>
                <w:lang w:val="pt-BR"/>
              </w:rPr>
            </w:pPr>
          </w:p>
          <w:p w14:paraId="154DA2E4" w14:textId="77777777" w:rsidR="004B3818" w:rsidRDefault="004B3818" w:rsidP="004B3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Encerramento:</w:t>
            </w:r>
          </w:p>
          <w:p w14:paraId="5E6EB30F" w14:textId="5CBAA8AE" w:rsidR="004B3818" w:rsidRPr="00332B42" w:rsidRDefault="004B3818" w:rsidP="004B3818">
            <w:pPr>
              <w:widowControl/>
              <w:suppressLineNumbers/>
              <w:jc w:val="both"/>
              <w:rPr>
                <w:lang w:val="pt-BR"/>
              </w:rPr>
            </w:pPr>
            <w:r>
              <w:rPr>
                <w:rFonts w:asciiTheme="majorHAnsi" w:hAnsiTheme="majorHAnsi" w:cs="Times New Roman"/>
                <w:sz w:val="20"/>
                <w:szCs w:val="20"/>
                <w:lang w:val="pt-BR"/>
              </w:rPr>
              <w:t xml:space="preserve">A sessão foi encerrada às </w:t>
            </w:r>
            <w:r w:rsidR="0046150B">
              <w:rPr>
                <w:rFonts w:asciiTheme="majorHAnsi" w:hAnsiTheme="majorHAnsi" w:cs="Times New Roman"/>
                <w:sz w:val="20"/>
                <w:szCs w:val="20"/>
                <w:lang w:val="pt-BR"/>
              </w:rPr>
              <w:t>1</w:t>
            </w:r>
            <w:r w:rsidR="00AF4728">
              <w:rPr>
                <w:rFonts w:asciiTheme="majorHAnsi" w:hAnsiTheme="majorHAnsi" w:cs="Times New Roman"/>
                <w:sz w:val="20"/>
                <w:szCs w:val="20"/>
                <w:lang w:val="pt-BR"/>
              </w:rPr>
              <w:t>6</w:t>
            </w:r>
            <w:r w:rsidR="0046150B">
              <w:rPr>
                <w:rFonts w:asciiTheme="majorHAnsi" w:hAnsiTheme="majorHAnsi" w:cs="Times New Roman"/>
                <w:sz w:val="20"/>
                <w:szCs w:val="20"/>
                <w:lang w:val="pt-BR"/>
              </w:rPr>
              <w:t>h</w:t>
            </w:r>
            <w:r w:rsidR="00AF4728">
              <w:rPr>
                <w:rFonts w:asciiTheme="majorHAnsi" w:hAnsiTheme="majorHAnsi" w:cs="Times New Roman"/>
                <w:sz w:val="20"/>
                <w:szCs w:val="20"/>
                <w:lang w:val="pt-BR"/>
              </w:rPr>
              <w:t>41</w:t>
            </w:r>
            <w:r w:rsidR="0046150B">
              <w:rPr>
                <w:rFonts w:asciiTheme="majorHAnsi" w:hAnsiTheme="majorHAnsi" w:cs="Times New Roman"/>
                <w:sz w:val="20"/>
                <w:szCs w:val="20"/>
                <w:lang w:val="pt-BR"/>
              </w:rPr>
              <w:t>min</w:t>
            </w:r>
            <w:r>
              <w:rPr>
                <w:rFonts w:asciiTheme="majorHAnsi" w:hAnsiTheme="majorHAnsi" w:cs="Times New Roman"/>
                <w:sz w:val="20"/>
                <w:szCs w:val="20"/>
                <w:lang w:val="pt-BR"/>
              </w:rPr>
              <w:t>.</w:t>
            </w:r>
          </w:p>
          <w:p w14:paraId="57D8230F" w14:textId="77777777" w:rsidR="004B3818" w:rsidRDefault="004B3818" w:rsidP="004B3818">
            <w:pPr>
              <w:widowControl/>
              <w:suppressLineNumbers/>
              <w:jc w:val="both"/>
              <w:rPr>
                <w:rFonts w:asciiTheme="majorHAnsi" w:hAnsiTheme="majorHAnsi" w:cs="Times New Roman"/>
                <w:sz w:val="10"/>
                <w:szCs w:val="10"/>
                <w:lang w:val="pt-BR"/>
              </w:rPr>
            </w:pPr>
          </w:p>
        </w:tc>
      </w:tr>
    </w:tbl>
    <w:p w14:paraId="0229C869" w14:textId="77777777" w:rsidR="00CA2A8E" w:rsidRPr="00D830EE" w:rsidRDefault="00CA2A8E">
      <w:pPr>
        <w:rPr>
          <w:sz w:val="6"/>
          <w:szCs w:val="6"/>
          <w:highlight w:val="yellow"/>
          <w:lang w:val="pt-BR"/>
        </w:rPr>
      </w:pPr>
    </w:p>
    <w:tbl>
      <w:tblPr>
        <w:tblStyle w:val="Tabelacomgrade"/>
        <w:tblW w:w="10188" w:type="dxa"/>
        <w:jc w:val="center"/>
        <w:tblLook w:val="04A0" w:firstRow="1" w:lastRow="0" w:firstColumn="1" w:lastColumn="0" w:noHBand="0" w:noVBand="1"/>
      </w:tblPr>
      <w:tblGrid>
        <w:gridCol w:w="10188"/>
      </w:tblGrid>
      <w:tr w:rsidR="001616F5" w14:paraId="1B3BDD0E" w14:textId="77777777">
        <w:trPr>
          <w:trHeight w:val="330"/>
          <w:jc w:val="center"/>
        </w:trPr>
        <w:tc>
          <w:tcPr>
            <w:tcW w:w="10188" w:type="dxa"/>
            <w:shd w:val="clear" w:color="auto" w:fill="D9D9D9" w:themeFill="background1" w:themeFillShade="D9"/>
            <w:vAlign w:val="center"/>
          </w:tcPr>
          <w:p w14:paraId="604391C3" w14:textId="77777777" w:rsidR="001616F5" w:rsidRDefault="008656E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lastRenderedPageBreak/>
              <w:t>4. DETALHAMENTO DOS ASSUNTOS TRATADOS:</w:t>
            </w:r>
          </w:p>
        </w:tc>
      </w:tr>
    </w:tbl>
    <w:p w14:paraId="629C152F" w14:textId="77777777" w:rsidR="001616F5" w:rsidRDefault="001616F5">
      <w:pPr>
        <w:rPr>
          <w:sz w:val="10"/>
          <w:szCs w:val="10"/>
          <w:lang w:val="pt-BR"/>
        </w:rPr>
      </w:pPr>
    </w:p>
    <w:tbl>
      <w:tblPr>
        <w:tblStyle w:val="Tabelacomgrade"/>
        <w:tblW w:w="10188" w:type="dxa"/>
        <w:jc w:val="center"/>
        <w:tblLook w:val="04A0" w:firstRow="1" w:lastRow="0" w:firstColumn="1" w:lastColumn="0" w:noHBand="0" w:noVBand="1"/>
      </w:tblPr>
      <w:tblGrid>
        <w:gridCol w:w="2146"/>
        <w:gridCol w:w="8042"/>
      </w:tblGrid>
      <w:tr w:rsidR="001616F5" w:rsidRPr="00A15CA7" w14:paraId="29449667" w14:textId="77777777" w:rsidTr="00332B42">
        <w:trPr>
          <w:trHeight w:val="330"/>
          <w:jc w:val="center"/>
        </w:trPr>
        <w:tc>
          <w:tcPr>
            <w:tcW w:w="2146" w:type="dxa"/>
            <w:shd w:val="clear" w:color="auto" w:fill="D9D9D9" w:themeFill="background1" w:themeFillShade="D9"/>
            <w:vAlign w:val="center"/>
          </w:tcPr>
          <w:p w14:paraId="18E5A7A2" w14:textId="0479D965" w:rsidR="001616F5" w:rsidRDefault="00CA2A8E">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3D5CB97C" w14:textId="7C487465" w:rsidR="001616F5" w:rsidRPr="00CA2A8E" w:rsidRDefault="00CA2A8E" w:rsidP="00CA2A8E">
            <w:pPr>
              <w:pStyle w:val="PargrafodaLista"/>
              <w:numPr>
                <w:ilvl w:val="0"/>
                <w:numId w:val="1"/>
              </w:numPr>
              <w:rPr>
                <w:rFonts w:asciiTheme="majorHAnsi" w:hAnsiTheme="majorHAnsi" w:cs="Times New Roman"/>
                <w:sz w:val="20"/>
                <w:szCs w:val="20"/>
                <w:lang w:val="pt-BR"/>
              </w:rPr>
            </w:pPr>
            <w:r w:rsidRPr="00CA2A8E">
              <w:rPr>
                <w:rFonts w:asciiTheme="majorHAnsi" w:hAnsiTheme="majorHAnsi" w:cs="Times New Roman"/>
                <w:sz w:val="20"/>
                <w:szCs w:val="20"/>
                <w:lang w:val="pt-BR"/>
              </w:rPr>
              <w:t>APRECIAÇÃO E APROVAÇÃO DE RELATÓRIOS DE PROCESSOS DE FISCALIZAÇÃO;</w:t>
            </w:r>
          </w:p>
        </w:tc>
      </w:tr>
      <w:tr w:rsidR="000D3E55" w:rsidRPr="00A15CA7" w14:paraId="2AFE628A" w14:textId="77777777" w:rsidTr="00332B42">
        <w:trPr>
          <w:trHeight w:val="1068"/>
          <w:jc w:val="center"/>
        </w:trPr>
        <w:tc>
          <w:tcPr>
            <w:tcW w:w="2146" w:type="dxa"/>
            <w:shd w:val="clear" w:color="auto" w:fill="D9D9D9" w:themeFill="background1" w:themeFillShade="D9"/>
            <w:vAlign w:val="center"/>
          </w:tcPr>
          <w:p w14:paraId="474AA46A" w14:textId="77777777" w:rsidR="000D3E55" w:rsidRDefault="000D3E55"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777AF077" w14:textId="77777777" w:rsidR="00CA2A8E" w:rsidRPr="004D6786" w:rsidRDefault="00CA2A8E" w:rsidP="00CA2A8E">
            <w:pPr>
              <w:spacing w:line="276" w:lineRule="auto"/>
              <w:jc w:val="both"/>
              <w:rPr>
                <w:rFonts w:ascii="Cambria" w:eastAsia="Calibri" w:hAnsi="Cambria" w:cs="Times New Roman"/>
                <w:sz w:val="10"/>
                <w:szCs w:val="10"/>
                <w:lang w:val="pt-BR"/>
              </w:rPr>
            </w:pPr>
          </w:p>
          <w:p w14:paraId="478807E7" w14:textId="77777777" w:rsidR="00CA2A8E" w:rsidRDefault="00CA2A8E" w:rsidP="00CA2A8E">
            <w:pPr>
              <w:spacing w:line="276" w:lineRule="auto"/>
              <w:jc w:val="both"/>
              <w:rPr>
                <w:rFonts w:ascii="Cambria" w:eastAsia="Calibri" w:hAnsi="Cambria" w:cs="Times New Roman"/>
                <w:sz w:val="20"/>
                <w:szCs w:val="20"/>
                <w:lang w:val="pt-BR"/>
              </w:rPr>
            </w:pPr>
            <w:r>
              <w:rPr>
                <w:rFonts w:ascii="Cambria" w:eastAsia="Calibri" w:hAnsi="Cambria" w:cs="Times New Roman"/>
                <w:sz w:val="20"/>
                <w:szCs w:val="20"/>
                <w:lang w:val="pt-BR"/>
              </w:rPr>
              <w:t>Não foram votados pareceres de processos de fiscalização nesta sessão.</w:t>
            </w:r>
          </w:p>
          <w:p w14:paraId="15925CCA" w14:textId="4930FD87" w:rsidR="00880134" w:rsidRPr="00CA2A8E" w:rsidRDefault="00880134" w:rsidP="00CA2A8E">
            <w:pPr>
              <w:spacing w:line="276" w:lineRule="auto"/>
              <w:jc w:val="both"/>
              <w:rPr>
                <w:rFonts w:ascii="Cambria" w:eastAsia="Calibri" w:hAnsi="Cambria" w:cs="Times New Roman"/>
                <w:sz w:val="10"/>
                <w:szCs w:val="10"/>
                <w:lang w:val="pt-BR"/>
              </w:rPr>
            </w:pPr>
          </w:p>
        </w:tc>
      </w:tr>
      <w:tr w:rsidR="000D3E55" w:rsidRPr="00A15CA7" w14:paraId="0C73CAFF" w14:textId="77777777" w:rsidTr="00332B42">
        <w:trPr>
          <w:trHeight w:val="70"/>
          <w:jc w:val="center"/>
        </w:trPr>
        <w:tc>
          <w:tcPr>
            <w:tcW w:w="10188" w:type="dxa"/>
            <w:gridSpan w:val="2"/>
            <w:tcBorders>
              <w:left w:val="nil"/>
              <w:right w:val="nil"/>
            </w:tcBorders>
            <w:shd w:val="clear" w:color="auto" w:fill="auto"/>
            <w:vAlign w:val="center"/>
          </w:tcPr>
          <w:p w14:paraId="3E9C479B" w14:textId="77777777" w:rsidR="000D3E55" w:rsidRDefault="000D3E55" w:rsidP="000D3E55">
            <w:pPr>
              <w:rPr>
                <w:sz w:val="10"/>
                <w:szCs w:val="10"/>
                <w:highlight w:val="yellow"/>
                <w:lang w:val="pt-BR"/>
              </w:rPr>
            </w:pPr>
          </w:p>
        </w:tc>
      </w:tr>
      <w:tr w:rsidR="000D3E55" w14:paraId="57E800CC" w14:textId="77777777" w:rsidTr="00332B42">
        <w:trPr>
          <w:trHeight w:val="330"/>
          <w:jc w:val="center"/>
        </w:trPr>
        <w:tc>
          <w:tcPr>
            <w:tcW w:w="2146" w:type="dxa"/>
            <w:shd w:val="clear" w:color="auto" w:fill="D9D9D9" w:themeFill="background1" w:themeFillShade="D9"/>
            <w:vAlign w:val="center"/>
          </w:tcPr>
          <w:p w14:paraId="513F4944" w14:textId="340DADF2" w:rsidR="000D3E55" w:rsidRDefault="00CA2A8E"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03EA8B20" w14:textId="4E91B522" w:rsidR="000D3E55" w:rsidRPr="00CA2A8E" w:rsidRDefault="00CA2A8E" w:rsidP="00CA2A8E">
            <w:pPr>
              <w:pStyle w:val="PargrafodaLista"/>
              <w:numPr>
                <w:ilvl w:val="0"/>
                <w:numId w:val="1"/>
              </w:numPr>
              <w:spacing w:line="276" w:lineRule="auto"/>
              <w:rPr>
                <w:rFonts w:asciiTheme="majorHAnsi" w:hAnsiTheme="majorHAnsi"/>
                <w:sz w:val="20"/>
                <w:szCs w:val="20"/>
                <w:lang w:val="pt-BR"/>
              </w:rPr>
            </w:pPr>
            <w:r w:rsidRPr="00CA2A8E">
              <w:rPr>
                <w:rFonts w:asciiTheme="majorHAnsi" w:hAnsiTheme="majorHAnsi"/>
                <w:sz w:val="20"/>
                <w:szCs w:val="20"/>
                <w:lang w:val="pt-BR"/>
              </w:rPr>
              <w:t>ASSUNTOS ORIUNDOS DA GERTEF:</w:t>
            </w:r>
          </w:p>
        </w:tc>
      </w:tr>
      <w:tr w:rsidR="000D3E55" w:rsidRPr="00A15CA7" w14:paraId="6B5919E2" w14:textId="77777777" w:rsidTr="00332B42">
        <w:trPr>
          <w:trHeight w:val="692"/>
          <w:jc w:val="center"/>
        </w:trPr>
        <w:tc>
          <w:tcPr>
            <w:tcW w:w="2146" w:type="dxa"/>
            <w:shd w:val="clear" w:color="auto" w:fill="D9D9D9" w:themeFill="background1" w:themeFillShade="D9"/>
            <w:vAlign w:val="center"/>
          </w:tcPr>
          <w:p w14:paraId="7A737875" w14:textId="77777777" w:rsidR="000D3E55" w:rsidRDefault="000D3E55" w:rsidP="000D3E5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3AE1255A" w14:textId="77777777" w:rsidR="000D3E55" w:rsidRDefault="000D3E55" w:rsidP="000D3E55">
            <w:pPr>
              <w:rPr>
                <w:rFonts w:asciiTheme="majorHAnsi" w:hAnsiTheme="majorHAnsi"/>
                <w:sz w:val="10"/>
                <w:szCs w:val="10"/>
                <w:lang w:val="pt-BR"/>
              </w:rPr>
            </w:pPr>
          </w:p>
          <w:p w14:paraId="31EADCAE" w14:textId="7471E0A8" w:rsidR="00282497" w:rsidRPr="00342ADF" w:rsidRDefault="00AF4728" w:rsidP="00282497">
            <w:pPr>
              <w:pStyle w:val="PargrafodaLista"/>
              <w:numPr>
                <w:ilvl w:val="1"/>
                <w:numId w:val="1"/>
              </w:numPr>
              <w:spacing w:line="276" w:lineRule="auto"/>
              <w:rPr>
                <w:rFonts w:asciiTheme="majorHAnsi" w:hAnsiTheme="majorHAnsi"/>
                <w:sz w:val="20"/>
                <w:szCs w:val="20"/>
                <w:lang w:val="pt-BR"/>
              </w:rPr>
            </w:pPr>
            <w:r w:rsidRPr="00342ADF">
              <w:rPr>
                <w:rFonts w:asciiTheme="majorHAnsi" w:hAnsiTheme="majorHAnsi"/>
                <w:sz w:val="20"/>
                <w:szCs w:val="20"/>
                <w:lang w:val="pt-BR"/>
              </w:rPr>
              <w:t>Alteração Resolução CAU/BR nº 184/2019: envio de ofício para comunicação de baixa de RRT nos casos de baixa de ofício de pessoa jurídica:</w:t>
            </w:r>
            <w:r w:rsidR="00297AF4" w:rsidRPr="00342ADF">
              <w:rPr>
                <w:rFonts w:asciiTheme="majorHAnsi" w:hAnsiTheme="majorHAnsi"/>
                <w:sz w:val="20"/>
                <w:szCs w:val="20"/>
                <w:lang w:val="pt-BR"/>
              </w:rPr>
              <w:t xml:space="preserve"> Após discussão da matéria, a Comissão decidiu por estabelecer, que nos procedimentos de baixa de ofício de RRT, a comunicação à parte que a se pretende comunicar seguirá a seguinte ordem de tentativas: (1) quando houver ciência do e-mail da parte, a comunicação será eletrônica; (2) frustrado o meio anterior, a comunicação de dará através dos Correios, com aviso de recebimento; (3) malogrado a via anterior, será realizada publicação da comunicação no Diário Oficial da União. O procedimento também será adotado para os demais casos de cancelamento de RRT, para além dos inseridos na Baixa de Ofício de Pessoa Jurídica, e será incluído no normativo deliberado no item 3.5, adiante.</w:t>
            </w:r>
          </w:p>
          <w:p w14:paraId="2B2CA8EB" w14:textId="77777777" w:rsidR="000D3E55" w:rsidRPr="00AF4728" w:rsidRDefault="000D3E55" w:rsidP="00AF4728">
            <w:pPr>
              <w:spacing w:line="276" w:lineRule="auto"/>
              <w:rPr>
                <w:rFonts w:asciiTheme="majorHAnsi" w:hAnsiTheme="majorHAnsi" w:cs="Times New Roman"/>
                <w:sz w:val="10"/>
                <w:szCs w:val="10"/>
                <w:lang w:val="pt-BR"/>
              </w:rPr>
            </w:pPr>
          </w:p>
        </w:tc>
      </w:tr>
    </w:tbl>
    <w:p w14:paraId="353F3A00" w14:textId="77777777" w:rsidR="00CA2A8E" w:rsidRDefault="00CA2A8E" w:rsidP="00CA2A8E">
      <w:pPr>
        <w:rPr>
          <w:sz w:val="10"/>
          <w:szCs w:val="10"/>
          <w:lang w:val="pt-BR"/>
        </w:rPr>
      </w:pPr>
    </w:p>
    <w:tbl>
      <w:tblPr>
        <w:tblStyle w:val="Tabelacomgrade"/>
        <w:tblW w:w="10188" w:type="dxa"/>
        <w:jc w:val="center"/>
        <w:tblLook w:val="04A0" w:firstRow="1" w:lastRow="0" w:firstColumn="1" w:lastColumn="0" w:noHBand="0" w:noVBand="1"/>
      </w:tblPr>
      <w:tblGrid>
        <w:gridCol w:w="2146"/>
        <w:gridCol w:w="8042"/>
      </w:tblGrid>
      <w:tr w:rsidR="00CA2A8E" w:rsidRPr="00A15CA7" w14:paraId="6E5F4D51" w14:textId="77777777" w:rsidTr="009A13B6">
        <w:trPr>
          <w:trHeight w:val="330"/>
          <w:jc w:val="center"/>
        </w:trPr>
        <w:tc>
          <w:tcPr>
            <w:tcW w:w="2146" w:type="dxa"/>
            <w:shd w:val="clear" w:color="auto" w:fill="D9D9D9" w:themeFill="background1" w:themeFillShade="D9"/>
            <w:vAlign w:val="center"/>
          </w:tcPr>
          <w:p w14:paraId="55A0E120" w14:textId="28958A50"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17E95B46" w14:textId="5AF7421A" w:rsidR="00CA2A8E" w:rsidRPr="00CA2A8E" w:rsidRDefault="00CA2A8E" w:rsidP="00CA2A8E">
            <w:pPr>
              <w:pStyle w:val="PargrafodaLista"/>
              <w:numPr>
                <w:ilvl w:val="0"/>
                <w:numId w:val="1"/>
              </w:numPr>
              <w:rPr>
                <w:rFonts w:asciiTheme="majorHAnsi" w:hAnsiTheme="majorHAnsi" w:cs="Times New Roman"/>
                <w:sz w:val="20"/>
                <w:szCs w:val="20"/>
                <w:lang w:val="pt-BR"/>
              </w:rPr>
            </w:pPr>
            <w:r w:rsidRPr="00CA2A8E">
              <w:rPr>
                <w:rFonts w:asciiTheme="majorHAnsi" w:hAnsiTheme="majorHAnsi" w:cs="Times New Roman"/>
                <w:sz w:val="20"/>
                <w:szCs w:val="20"/>
                <w:lang w:val="pt-BR"/>
              </w:rPr>
              <w:t>CONSOLIDAÇÃO DE PROCEDIMENTOS DA GERTEF</w:t>
            </w:r>
          </w:p>
        </w:tc>
      </w:tr>
      <w:tr w:rsidR="00CA2A8E" w:rsidRPr="00A15CA7" w14:paraId="4190645F" w14:textId="77777777" w:rsidTr="009A13B6">
        <w:trPr>
          <w:trHeight w:val="1068"/>
          <w:jc w:val="center"/>
        </w:trPr>
        <w:tc>
          <w:tcPr>
            <w:tcW w:w="2146" w:type="dxa"/>
            <w:shd w:val="clear" w:color="auto" w:fill="D9D9D9" w:themeFill="background1" w:themeFillShade="D9"/>
            <w:vAlign w:val="center"/>
          </w:tcPr>
          <w:p w14:paraId="592601CD" w14:textId="77777777"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22200C89" w14:textId="77777777" w:rsidR="00CA2A8E" w:rsidRPr="00880134" w:rsidRDefault="00CA2A8E" w:rsidP="009A13B6">
            <w:pPr>
              <w:spacing w:line="276" w:lineRule="auto"/>
              <w:jc w:val="both"/>
              <w:rPr>
                <w:rFonts w:ascii="Cambria" w:eastAsia="Calibri" w:hAnsi="Cambria" w:cs="Times New Roman"/>
                <w:sz w:val="10"/>
                <w:szCs w:val="10"/>
                <w:lang w:val="pt-BR"/>
              </w:rPr>
            </w:pPr>
          </w:p>
          <w:p w14:paraId="2CD52FA8" w14:textId="6A984E93" w:rsidR="00CA2A8E" w:rsidRPr="00CA2A8E" w:rsidRDefault="00AF4728" w:rsidP="00CA2A8E">
            <w:pPr>
              <w:spacing w:line="276" w:lineRule="auto"/>
              <w:rPr>
                <w:rFonts w:ascii="Cambria" w:eastAsia="Calibri" w:hAnsi="Cambria" w:cs="Times New Roman"/>
                <w:sz w:val="20"/>
                <w:szCs w:val="20"/>
                <w:lang w:val="pt-BR"/>
              </w:rPr>
            </w:pPr>
            <w:r>
              <w:rPr>
                <w:rFonts w:ascii="Cambria" w:eastAsia="Calibri" w:hAnsi="Cambria" w:cs="Times New Roman"/>
                <w:sz w:val="20"/>
                <w:szCs w:val="20"/>
                <w:lang w:val="pt-BR"/>
              </w:rPr>
              <w:t>Após rápida leitura das minutas de normativos e realizadas breves alterações de texto e, em alguns casos, de conteúdo, as propostas forma aprovadas. A assessoria da Comissão tratará da padronização dos documentos e os devolverá aos setores de análise para última revisão, antes da aprovação final os procedimentos pela CEP.</w:t>
            </w:r>
          </w:p>
          <w:p w14:paraId="0992032C" w14:textId="77777777" w:rsidR="00CA2A8E" w:rsidRPr="00880134" w:rsidRDefault="00CA2A8E" w:rsidP="009A13B6">
            <w:pPr>
              <w:spacing w:line="276" w:lineRule="auto"/>
              <w:rPr>
                <w:rFonts w:ascii="Cambria" w:eastAsia="Calibri" w:hAnsi="Cambria" w:cs="Times New Roman"/>
                <w:sz w:val="10"/>
                <w:szCs w:val="10"/>
                <w:lang w:val="pt-BR"/>
              </w:rPr>
            </w:pPr>
          </w:p>
        </w:tc>
      </w:tr>
      <w:tr w:rsidR="00CA2A8E" w:rsidRPr="00A15CA7" w14:paraId="28F085B3" w14:textId="77777777" w:rsidTr="009A13B6">
        <w:trPr>
          <w:trHeight w:val="70"/>
          <w:jc w:val="center"/>
        </w:trPr>
        <w:tc>
          <w:tcPr>
            <w:tcW w:w="10188" w:type="dxa"/>
            <w:gridSpan w:val="2"/>
            <w:tcBorders>
              <w:left w:val="nil"/>
              <w:bottom w:val="nil"/>
              <w:right w:val="nil"/>
            </w:tcBorders>
            <w:shd w:val="clear" w:color="auto" w:fill="auto"/>
            <w:vAlign w:val="center"/>
          </w:tcPr>
          <w:p w14:paraId="5B67673D" w14:textId="77777777" w:rsidR="00CA2A8E" w:rsidRDefault="00CA2A8E" w:rsidP="009A13B6">
            <w:pPr>
              <w:rPr>
                <w:sz w:val="10"/>
                <w:szCs w:val="10"/>
                <w:highlight w:val="yellow"/>
                <w:lang w:val="pt-BR"/>
              </w:rPr>
            </w:pPr>
          </w:p>
        </w:tc>
      </w:tr>
      <w:tr w:rsidR="00CA2A8E" w:rsidRPr="00A15CA7" w14:paraId="6F134642" w14:textId="77777777" w:rsidTr="009A13B6">
        <w:trPr>
          <w:trHeight w:val="330"/>
          <w:jc w:val="center"/>
        </w:trPr>
        <w:tc>
          <w:tcPr>
            <w:tcW w:w="2146" w:type="dxa"/>
            <w:shd w:val="clear" w:color="auto" w:fill="D9D9D9" w:themeFill="background1" w:themeFillShade="D9"/>
            <w:vAlign w:val="center"/>
          </w:tcPr>
          <w:p w14:paraId="2E45E524" w14:textId="09377354" w:rsidR="00CA2A8E" w:rsidRDefault="00AF4728"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4A7469FF" w14:textId="2BC2E7CE" w:rsidR="00CA2A8E" w:rsidRPr="00AF4728" w:rsidRDefault="00AF4728" w:rsidP="00AF4728">
            <w:pPr>
              <w:pStyle w:val="PargrafodaLista"/>
              <w:numPr>
                <w:ilvl w:val="0"/>
                <w:numId w:val="1"/>
              </w:numPr>
              <w:rPr>
                <w:rFonts w:asciiTheme="majorHAnsi" w:hAnsiTheme="majorHAnsi" w:cs="Times New Roman"/>
                <w:sz w:val="20"/>
                <w:szCs w:val="20"/>
                <w:lang w:val="pt-BR"/>
              </w:rPr>
            </w:pPr>
            <w:r w:rsidRPr="00AF4728">
              <w:rPr>
                <w:rFonts w:asciiTheme="majorHAnsi" w:hAnsiTheme="majorHAnsi" w:cs="Times New Roman"/>
                <w:sz w:val="20"/>
                <w:szCs w:val="20"/>
                <w:lang w:val="pt-BR"/>
              </w:rPr>
              <w:t>SOLICITAÇÃO DE MANIFESTAÇÃO DA CEP</w:t>
            </w:r>
          </w:p>
        </w:tc>
      </w:tr>
      <w:tr w:rsidR="00CA2A8E" w:rsidRPr="00A15CA7" w14:paraId="0069480A" w14:textId="77777777" w:rsidTr="009A13B6">
        <w:trPr>
          <w:trHeight w:val="551"/>
          <w:jc w:val="center"/>
        </w:trPr>
        <w:tc>
          <w:tcPr>
            <w:tcW w:w="2146" w:type="dxa"/>
            <w:shd w:val="clear" w:color="auto" w:fill="D9D9D9" w:themeFill="background1" w:themeFillShade="D9"/>
            <w:vAlign w:val="center"/>
          </w:tcPr>
          <w:p w14:paraId="517B3E06" w14:textId="77777777" w:rsidR="00CA2A8E" w:rsidRDefault="00CA2A8E" w:rsidP="009A13B6">
            <w:pPr>
              <w:widowControl/>
              <w:suppressLineNumbers/>
              <w:spacing w:line="276" w:lineRule="auto"/>
              <w:rPr>
                <w:rFonts w:asciiTheme="majorHAnsi" w:hAnsiTheme="majorHAnsi" w:cs="Times New Roman"/>
                <w:sz w:val="20"/>
                <w:szCs w:val="20"/>
                <w:lang w:val="pt-BR"/>
              </w:rPr>
            </w:pPr>
            <w:r>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00074353" w14:textId="77777777" w:rsidR="00CA2A8E" w:rsidRPr="004D6786" w:rsidRDefault="00CA2A8E" w:rsidP="009A13B6">
            <w:pPr>
              <w:spacing w:line="276" w:lineRule="auto"/>
              <w:jc w:val="both"/>
              <w:rPr>
                <w:rFonts w:ascii="Cambria" w:eastAsia="Calibri" w:hAnsi="Cambria" w:cs="Times New Roman"/>
                <w:sz w:val="10"/>
                <w:szCs w:val="10"/>
                <w:lang w:val="pt-BR"/>
              </w:rPr>
            </w:pPr>
          </w:p>
          <w:p w14:paraId="7170DED2" w14:textId="5689AB59" w:rsidR="00803270" w:rsidRPr="00C43DB1" w:rsidRDefault="00803270" w:rsidP="00803270">
            <w:pPr>
              <w:pStyle w:val="PargrafodaLista"/>
              <w:numPr>
                <w:ilvl w:val="1"/>
                <w:numId w:val="1"/>
              </w:numPr>
              <w:spacing w:line="276" w:lineRule="auto"/>
              <w:rPr>
                <w:rFonts w:asciiTheme="majorHAnsi" w:hAnsiTheme="majorHAnsi"/>
                <w:sz w:val="20"/>
                <w:szCs w:val="20"/>
                <w:lang w:val="pt-BR"/>
              </w:rPr>
            </w:pPr>
            <w:bookmarkStart w:id="1" w:name="_Hlk51947356"/>
            <w:r w:rsidRPr="00C43DB1">
              <w:rPr>
                <w:rFonts w:asciiTheme="majorHAnsi" w:hAnsiTheme="majorHAnsi"/>
                <w:sz w:val="20"/>
                <w:szCs w:val="20"/>
                <w:lang w:val="pt-BR"/>
              </w:rPr>
              <w:t>Da COA-CAU/MG: Questionamento em Edital de ATHIS sobre emissão de certidão pelo CAU/MG</w:t>
            </w:r>
            <w:r w:rsidR="000C54E2" w:rsidRPr="00C43DB1">
              <w:rPr>
                <w:rFonts w:asciiTheme="majorHAnsi" w:hAnsiTheme="majorHAnsi"/>
                <w:sz w:val="20"/>
                <w:szCs w:val="20"/>
                <w:lang w:val="pt-BR"/>
              </w:rPr>
              <w:t>: Para o caso mencionado na solicitação encaminhada, a Comissão se manifestou no sentido de que o CAU</w:t>
            </w:r>
            <w:r w:rsidR="00A75A16" w:rsidRPr="00C43DB1">
              <w:rPr>
                <w:rFonts w:asciiTheme="majorHAnsi" w:hAnsiTheme="majorHAnsi"/>
                <w:sz w:val="20"/>
                <w:szCs w:val="20"/>
                <w:lang w:val="pt-BR"/>
              </w:rPr>
              <w:t>/MG</w:t>
            </w:r>
            <w:r w:rsidR="000C54E2" w:rsidRPr="00C43DB1">
              <w:rPr>
                <w:rFonts w:asciiTheme="majorHAnsi" w:hAnsiTheme="majorHAnsi"/>
                <w:sz w:val="20"/>
                <w:szCs w:val="20"/>
                <w:lang w:val="pt-BR"/>
              </w:rPr>
              <w:t xml:space="preserve"> pode emitir </w:t>
            </w:r>
            <w:r w:rsidR="00A75A16" w:rsidRPr="00C43DB1">
              <w:rPr>
                <w:rFonts w:asciiTheme="majorHAnsi" w:hAnsiTheme="majorHAnsi"/>
                <w:sz w:val="20"/>
                <w:szCs w:val="20"/>
                <w:lang w:val="pt-BR"/>
              </w:rPr>
              <w:t xml:space="preserve">o Atestado de Capacidade Técnica para a pessoa jurídica convenente, uma vez que houve acompanhamento e prestação de contas à esta Autarquia sobre os serviços realizados. A CEP ainda se manifestou que, nos casos de autocontratação, a emissão de Certidão de Atestado de Capacidade Técnica pelo CAU/MG fica condicionada à apresentação, pelo requerente, de documentação comprobatória </w:t>
            </w:r>
            <w:r w:rsidR="00C53B95" w:rsidRPr="00C43DB1">
              <w:rPr>
                <w:rFonts w:asciiTheme="majorHAnsi" w:hAnsiTheme="majorHAnsi"/>
                <w:sz w:val="20"/>
                <w:szCs w:val="20"/>
                <w:lang w:val="pt-BR"/>
              </w:rPr>
              <w:t xml:space="preserve">emitida por órgão público que demonstre a realização dos serviços (como cópia de licenciamento edilício ou ambiental, alvará de construção, </w:t>
            </w:r>
            <w:r w:rsidR="00A75A16" w:rsidRPr="00C43DB1">
              <w:rPr>
                <w:rFonts w:asciiTheme="majorHAnsi" w:hAnsiTheme="majorHAnsi"/>
                <w:sz w:val="20"/>
                <w:szCs w:val="20"/>
                <w:lang w:val="pt-BR"/>
              </w:rPr>
              <w:t xml:space="preserve"> </w:t>
            </w:r>
            <w:r w:rsidR="00C53B95" w:rsidRPr="00C43DB1">
              <w:rPr>
                <w:rFonts w:asciiTheme="majorHAnsi" w:hAnsiTheme="majorHAnsi"/>
                <w:sz w:val="20"/>
                <w:szCs w:val="20"/>
                <w:lang w:val="pt-BR"/>
              </w:rPr>
              <w:t>habite-se, auto de vistoria do corpo de bombeiros, dentre outros de natureza similar e diretamente relacionados com as  atividades mencionadas na CAT-A.</w:t>
            </w:r>
          </w:p>
          <w:bookmarkEnd w:id="1"/>
          <w:p w14:paraId="7A7F57EF" w14:textId="77777777" w:rsidR="00C53B95" w:rsidRPr="00C53B95" w:rsidRDefault="00C53B95" w:rsidP="00C53B95">
            <w:pPr>
              <w:spacing w:line="276" w:lineRule="auto"/>
              <w:rPr>
                <w:rFonts w:asciiTheme="majorHAnsi" w:hAnsiTheme="majorHAnsi"/>
                <w:sz w:val="10"/>
                <w:szCs w:val="10"/>
                <w:lang w:val="pt-BR"/>
              </w:rPr>
            </w:pPr>
          </w:p>
          <w:p w14:paraId="08E15A99" w14:textId="49FF297E" w:rsidR="00803270" w:rsidRPr="00A15CA7" w:rsidRDefault="00803270" w:rsidP="00803270">
            <w:pPr>
              <w:pStyle w:val="PargrafodaLista"/>
              <w:numPr>
                <w:ilvl w:val="1"/>
                <w:numId w:val="1"/>
              </w:numPr>
              <w:spacing w:line="276" w:lineRule="auto"/>
              <w:rPr>
                <w:rFonts w:asciiTheme="majorHAnsi" w:hAnsiTheme="majorHAnsi"/>
                <w:sz w:val="20"/>
                <w:szCs w:val="20"/>
                <w:lang w:val="pt-BR"/>
              </w:rPr>
            </w:pPr>
            <w:r w:rsidRPr="00A15CA7">
              <w:rPr>
                <w:rFonts w:asciiTheme="majorHAnsi" w:hAnsiTheme="majorHAnsi"/>
                <w:sz w:val="20"/>
                <w:szCs w:val="20"/>
                <w:lang w:val="pt-BR"/>
              </w:rPr>
              <w:t>Da ASSCOM-CAU/MG: Alteração da Cartilha de RRT</w:t>
            </w:r>
            <w:r w:rsidR="00342ADF" w:rsidRPr="00A15CA7">
              <w:rPr>
                <w:rFonts w:asciiTheme="majorHAnsi" w:hAnsiTheme="majorHAnsi"/>
                <w:sz w:val="20"/>
                <w:szCs w:val="20"/>
                <w:lang w:val="pt-BR"/>
              </w:rPr>
              <w:t>: após leitura no texto sugerido pela Assessoria da Comunicação, com base na cartilha anteriormente editada, e depois da realização de breves ajustes, o conteúdo foi aprovado e será encaminhado para Assessoria de Comunicação do CAU/MG;</w:t>
            </w:r>
          </w:p>
          <w:p w14:paraId="5CE7990B" w14:textId="77777777" w:rsidR="00C53B95" w:rsidRPr="00C53B95" w:rsidRDefault="00C53B95" w:rsidP="00C53B95">
            <w:pPr>
              <w:spacing w:line="276" w:lineRule="auto"/>
              <w:rPr>
                <w:rFonts w:asciiTheme="majorHAnsi" w:hAnsiTheme="majorHAnsi"/>
                <w:sz w:val="10"/>
                <w:szCs w:val="10"/>
                <w:lang w:val="pt-BR"/>
              </w:rPr>
            </w:pPr>
          </w:p>
          <w:p w14:paraId="155F10D0" w14:textId="768DF123" w:rsidR="00803270" w:rsidRPr="00342ADF" w:rsidRDefault="00803270" w:rsidP="00803270">
            <w:pPr>
              <w:pStyle w:val="PargrafodaLista"/>
              <w:numPr>
                <w:ilvl w:val="1"/>
                <w:numId w:val="1"/>
              </w:numPr>
              <w:spacing w:line="276" w:lineRule="auto"/>
              <w:rPr>
                <w:rFonts w:ascii="Cambria" w:eastAsia="Calibri" w:hAnsi="Cambria" w:cs="Times New Roman"/>
                <w:sz w:val="20"/>
                <w:szCs w:val="20"/>
                <w:lang w:val="pt-BR"/>
              </w:rPr>
            </w:pPr>
            <w:r w:rsidRPr="00342ADF">
              <w:rPr>
                <w:rFonts w:asciiTheme="majorHAnsi" w:hAnsiTheme="majorHAnsi"/>
                <w:sz w:val="20"/>
                <w:szCs w:val="20"/>
                <w:lang w:val="pt-BR"/>
              </w:rPr>
              <w:t>Do TEC-RG-EMP/GERTEF-CAU/MG: Número de Empresas que podem ser imputadas a um mesmo responsável técnico</w:t>
            </w:r>
            <w:r w:rsidR="00342ADF">
              <w:rPr>
                <w:rFonts w:asciiTheme="majorHAnsi" w:hAnsiTheme="majorHAnsi"/>
                <w:sz w:val="20"/>
                <w:szCs w:val="20"/>
                <w:lang w:val="pt-BR"/>
              </w:rPr>
              <w:t>: Em análise preliminar</w:t>
            </w:r>
            <w:r w:rsidR="000C54E2">
              <w:rPr>
                <w:rFonts w:asciiTheme="majorHAnsi" w:hAnsiTheme="majorHAnsi"/>
                <w:sz w:val="20"/>
                <w:szCs w:val="20"/>
                <w:lang w:val="pt-BR"/>
              </w:rPr>
              <w:t>, a CEP entendeu que, nos registros de sociedades entre empresas, independente da modalidade, os RRTs de Cargo/Função para tais sociedades não deveriam ser contados os limites de número de responsabilidade técnica por arquitetos, segundo o estabelecido no artigo 10 da Resolução CAU/BR 28/2012. A fim de melhor compreender o assunto e fundamentar sua manifestação à CEP-CAU/BR, foi deliberado por solicitar um parecer jurídico e, se necessário, contábil, à Gerência Jurídica (e, se for o caso, à Gerência Administrativa-</w:t>
            </w:r>
            <w:r w:rsidR="000C54E2">
              <w:rPr>
                <w:rFonts w:asciiTheme="majorHAnsi" w:hAnsiTheme="majorHAnsi"/>
                <w:sz w:val="20"/>
                <w:szCs w:val="20"/>
                <w:lang w:val="pt-BR"/>
              </w:rPr>
              <w:lastRenderedPageBreak/>
              <w:t>Financeira) sobre as diferenças na tipificação de SPE (Sociedade de Propósito Específico) e Consórcio de empresas, além das diferenças entre sociedades com e sem personalidade jurídica.</w:t>
            </w:r>
          </w:p>
          <w:p w14:paraId="0F1053BE" w14:textId="3C2BD77F" w:rsidR="00696797" w:rsidRPr="004D6786" w:rsidRDefault="00696797" w:rsidP="00CA2A8E">
            <w:pPr>
              <w:spacing w:line="276" w:lineRule="auto"/>
              <w:jc w:val="both"/>
              <w:rPr>
                <w:sz w:val="10"/>
                <w:szCs w:val="10"/>
                <w:lang w:val="pt-BR"/>
              </w:rPr>
            </w:pPr>
          </w:p>
        </w:tc>
      </w:tr>
      <w:tr w:rsidR="00CA2A8E" w:rsidRPr="00A15CA7" w14:paraId="4F97531A" w14:textId="77777777" w:rsidTr="009A13B6">
        <w:trPr>
          <w:trHeight w:val="70"/>
          <w:jc w:val="center"/>
        </w:trPr>
        <w:tc>
          <w:tcPr>
            <w:tcW w:w="10188" w:type="dxa"/>
            <w:gridSpan w:val="2"/>
            <w:tcBorders>
              <w:left w:val="nil"/>
              <w:right w:val="nil"/>
            </w:tcBorders>
            <w:shd w:val="clear" w:color="auto" w:fill="auto"/>
            <w:vAlign w:val="center"/>
          </w:tcPr>
          <w:p w14:paraId="61FD5AF5" w14:textId="77777777" w:rsidR="00CA2A8E" w:rsidRDefault="00CA2A8E" w:rsidP="009A13B6">
            <w:pPr>
              <w:rPr>
                <w:sz w:val="10"/>
                <w:szCs w:val="10"/>
                <w:highlight w:val="yellow"/>
                <w:lang w:val="pt-BR"/>
              </w:rPr>
            </w:pPr>
          </w:p>
        </w:tc>
      </w:tr>
      <w:tr w:rsidR="00CA2A8E" w14:paraId="48E1B0FA" w14:textId="77777777" w:rsidTr="009A13B6">
        <w:trPr>
          <w:trHeight w:val="330"/>
          <w:jc w:val="center"/>
        </w:trPr>
        <w:tc>
          <w:tcPr>
            <w:tcW w:w="2146" w:type="dxa"/>
            <w:shd w:val="clear" w:color="auto" w:fill="D9D9D9" w:themeFill="background1" w:themeFillShade="D9"/>
            <w:vAlign w:val="center"/>
          </w:tcPr>
          <w:p w14:paraId="7B5BFC76" w14:textId="77777777" w:rsidR="00CA2A8E" w:rsidRDefault="00CA2A8E" w:rsidP="009A13B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ITEM DE PAUTA:</w:t>
            </w:r>
          </w:p>
        </w:tc>
        <w:tc>
          <w:tcPr>
            <w:tcW w:w="8042" w:type="dxa"/>
            <w:shd w:val="clear" w:color="auto" w:fill="auto"/>
            <w:vAlign w:val="center"/>
          </w:tcPr>
          <w:p w14:paraId="12F129EA" w14:textId="77777777" w:rsidR="00CA2A8E" w:rsidRDefault="00CA2A8E" w:rsidP="009A13B6">
            <w:pPr>
              <w:pStyle w:val="PargrafodaLista"/>
              <w:numPr>
                <w:ilvl w:val="0"/>
                <w:numId w:val="1"/>
              </w:numPr>
              <w:rPr>
                <w:rFonts w:asciiTheme="majorHAnsi" w:hAnsiTheme="majorHAnsi" w:cs="Times New Roman"/>
                <w:sz w:val="20"/>
                <w:szCs w:val="20"/>
                <w:lang w:val="pt-BR"/>
              </w:rPr>
            </w:pPr>
            <w:r>
              <w:rPr>
                <w:rFonts w:asciiTheme="majorHAnsi" w:hAnsiTheme="majorHAnsi" w:cs="Times New Roman"/>
                <w:sz w:val="20"/>
                <w:szCs w:val="20"/>
                <w:lang w:val="pt-BR"/>
              </w:rPr>
              <w:t>OUTROS ASSUNTOS:</w:t>
            </w:r>
          </w:p>
        </w:tc>
      </w:tr>
      <w:tr w:rsidR="00CA2A8E" w:rsidRPr="00A15CA7" w14:paraId="63DFE4E3" w14:textId="77777777" w:rsidTr="009A13B6">
        <w:trPr>
          <w:trHeight w:val="692"/>
          <w:jc w:val="center"/>
        </w:trPr>
        <w:tc>
          <w:tcPr>
            <w:tcW w:w="2146" w:type="dxa"/>
            <w:shd w:val="clear" w:color="auto" w:fill="D9D9D9" w:themeFill="background1" w:themeFillShade="D9"/>
            <w:vAlign w:val="center"/>
          </w:tcPr>
          <w:p w14:paraId="154F3ECA" w14:textId="77777777" w:rsidR="00CA2A8E" w:rsidRPr="00913ADD" w:rsidRDefault="00CA2A8E" w:rsidP="009A13B6">
            <w:pPr>
              <w:widowControl/>
              <w:suppressLineNumbers/>
              <w:rPr>
                <w:rFonts w:asciiTheme="majorHAnsi" w:hAnsiTheme="majorHAnsi" w:cs="Times New Roman"/>
                <w:sz w:val="20"/>
                <w:szCs w:val="20"/>
                <w:lang w:val="pt-BR"/>
              </w:rPr>
            </w:pPr>
            <w:r w:rsidRPr="00913ADD">
              <w:rPr>
                <w:rFonts w:asciiTheme="majorHAnsi" w:hAnsiTheme="majorHAnsi" w:cs="Times New Roman"/>
                <w:sz w:val="20"/>
                <w:szCs w:val="20"/>
                <w:lang w:val="pt-BR"/>
              </w:rPr>
              <w:t>DISCUSSÕES, DELIBERAÇÕES E ENCAMINHAMENTOS:</w:t>
            </w:r>
          </w:p>
        </w:tc>
        <w:tc>
          <w:tcPr>
            <w:tcW w:w="8042" w:type="dxa"/>
            <w:shd w:val="clear" w:color="auto" w:fill="auto"/>
            <w:vAlign w:val="center"/>
          </w:tcPr>
          <w:p w14:paraId="1C28884D" w14:textId="77777777" w:rsidR="00CA2A8E" w:rsidRPr="00913ADD" w:rsidRDefault="00CA2A8E" w:rsidP="009A13B6">
            <w:pPr>
              <w:rPr>
                <w:rFonts w:asciiTheme="majorHAnsi" w:hAnsiTheme="majorHAnsi"/>
                <w:sz w:val="10"/>
                <w:szCs w:val="10"/>
                <w:lang w:val="pt-BR"/>
              </w:rPr>
            </w:pPr>
          </w:p>
          <w:p w14:paraId="0D39192D" w14:textId="77CBA4F8" w:rsidR="00B37091" w:rsidRPr="00CA66DE" w:rsidRDefault="00B37091" w:rsidP="00B37091">
            <w:pPr>
              <w:pStyle w:val="PargrafodaLista"/>
              <w:numPr>
                <w:ilvl w:val="1"/>
                <w:numId w:val="1"/>
              </w:numPr>
              <w:rPr>
                <w:rFonts w:asciiTheme="majorHAnsi" w:hAnsiTheme="majorHAnsi" w:cs="Times New Roman"/>
                <w:sz w:val="20"/>
                <w:szCs w:val="20"/>
                <w:lang w:val="pt-BR"/>
              </w:rPr>
            </w:pPr>
            <w:r w:rsidRPr="00CA66DE">
              <w:rPr>
                <w:rFonts w:asciiTheme="majorHAnsi" w:hAnsiTheme="majorHAnsi" w:cs="Times New Roman"/>
                <w:sz w:val="20"/>
                <w:szCs w:val="20"/>
                <w:lang w:val="pt-BR"/>
              </w:rPr>
              <w:t xml:space="preserve">Relativamente ao Edital 01/2020 da Secretaria de Estado de Cultura e Turismo, para contratação de arquitetos e urbanistas em regime celetista, com </w:t>
            </w:r>
            <w:r w:rsidR="00FE4C48" w:rsidRPr="00FE4C48">
              <w:rPr>
                <w:rFonts w:asciiTheme="majorHAnsi" w:hAnsiTheme="majorHAnsi" w:cs="Times New Roman"/>
                <w:sz w:val="20"/>
                <w:szCs w:val="20"/>
                <w:lang w:val="pt-BR"/>
              </w:rPr>
              <w:t>remuneração abaixo do Salário Mínimo Profissional, estipulado pela Lei Federal 4.950-A/1966</w:t>
            </w:r>
            <w:r w:rsidRPr="00CA66DE">
              <w:rPr>
                <w:rFonts w:asciiTheme="majorHAnsi" w:hAnsiTheme="majorHAnsi" w:cs="Times New Roman"/>
                <w:sz w:val="20"/>
                <w:szCs w:val="20"/>
                <w:lang w:val="pt-BR"/>
              </w:rPr>
              <w:t xml:space="preserve">, a Comissão deliberou orientar à Gerencia Técnica e de </w:t>
            </w:r>
            <w:r w:rsidR="005027F9" w:rsidRPr="00CA66DE">
              <w:rPr>
                <w:rFonts w:asciiTheme="majorHAnsi" w:hAnsiTheme="majorHAnsi" w:cs="Times New Roman"/>
                <w:sz w:val="20"/>
                <w:szCs w:val="20"/>
                <w:lang w:val="pt-BR"/>
              </w:rPr>
              <w:t>Fiscalização</w:t>
            </w:r>
            <w:r w:rsidRPr="00CA66DE">
              <w:rPr>
                <w:rFonts w:asciiTheme="majorHAnsi" w:hAnsiTheme="majorHAnsi" w:cs="Times New Roman"/>
                <w:sz w:val="20"/>
                <w:szCs w:val="20"/>
                <w:lang w:val="pt-BR"/>
              </w:rPr>
              <w:t xml:space="preserve"> à realizar a impugnação do certame e,  havendo omissão ou negativa </w:t>
            </w:r>
            <w:r w:rsidR="00FE4C48" w:rsidRPr="00FE4C48">
              <w:rPr>
                <w:rFonts w:asciiTheme="majorHAnsi" w:hAnsiTheme="majorHAnsi" w:cs="Times New Roman"/>
                <w:sz w:val="20"/>
                <w:szCs w:val="20"/>
                <w:lang w:val="pt-BR"/>
              </w:rPr>
              <w:t>de alteração dos dados</w:t>
            </w:r>
            <w:r w:rsidRPr="00CA66DE">
              <w:rPr>
                <w:rFonts w:asciiTheme="majorHAnsi" w:hAnsiTheme="majorHAnsi" w:cs="Times New Roman"/>
                <w:sz w:val="20"/>
                <w:szCs w:val="20"/>
                <w:lang w:val="pt-BR"/>
              </w:rPr>
              <w:t>, encaminhar o caso à Gerência Jurídica para análise de alternativas junto ao Poder Judiciário</w:t>
            </w:r>
          </w:p>
          <w:p w14:paraId="73C2E672" w14:textId="77777777" w:rsidR="005027F9" w:rsidRPr="005027F9" w:rsidRDefault="005027F9" w:rsidP="005027F9">
            <w:pPr>
              <w:rPr>
                <w:rFonts w:asciiTheme="majorHAnsi" w:hAnsiTheme="majorHAnsi" w:cs="Times New Roman"/>
                <w:sz w:val="10"/>
                <w:szCs w:val="10"/>
                <w:lang w:val="pt-BR"/>
              </w:rPr>
            </w:pPr>
          </w:p>
          <w:p w14:paraId="37EDBBC8" w14:textId="16AB60EF" w:rsidR="005027F9" w:rsidRPr="005027F9" w:rsidRDefault="005027F9" w:rsidP="005027F9">
            <w:pPr>
              <w:pStyle w:val="PargrafodaLista"/>
              <w:numPr>
                <w:ilvl w:val="1"/>
                <w:numId w:val="1"/>
              </w:numPr>
              <w:rPr>
                <w:rFonts w:asciiTheme="majorHAnsi" w:hAnsiTheme="majorHAnsi" w:cs="Times New Roman"/>
                <w:sz w:val="20"/>
                <w:szCs w:val="20"/>
                <w:lang w:val="pt-BR"/>
              </w:rPr>
            </w:pPr>
            <w:r>
              <w:rPr>
                <w:rFonts w:asciiTheme="majorHAnsi" w:hAnsiTheme="majorHAnsi" w:cs="Times New Roman"/>
                <w:sz w:val="20"/>
                <w:szCs w:val="20"/>
                <w:lang w:val="pt-BR"/>
              </w:rPr>
              <w:t>Foi repassando aos presentes, pela Assessoria da Comissão, o material solicitado na reunião anterior sobre atribuições profissionais para elaboração e projeto e execução de fundações, para análise e posterior manifestação dos conselheiros.</w:t>
            </w:r>
          </w:p>
          <w:p w14:paraId="2F9F9042" w14:textId="77777777" w:rsidR="00B37091" w:rsidRPr="005027F9" w:rsidRDefault="00B37091" w:rsidP="00B37091">
            <w:pPr>
              <w:rPr>
                <w:rFonts w:asciiTheme="majorHAnsi" w:hAnsiTheme="majorHAnsi" w:cs="Times New Roman"/>
                <w:sz w:val="10"/>
                <w:szCs w:val="10"/>
                <w:highlight w:val="yellow"/>
                <w:lang w:val="pt-BR"/>
              </w:rPr>
            </w:pPr>
          </w:p>
          <w:p w14:paraId="4EE3DF31" w14:textId="4C7CC5AA" w:rsidR="00421201" w:rsidRPr="00E4692E" w:rsidRDefault="00421201" w:rsidP="00421201">
            <w:pPr>
              <w:pStyle w:val="PargrafodaLista"/>
              <w:numPr>
                <w:ilvl w:val="1"/>
                <w:numId w:val="1"/>
              </w:numPr>
              <w:rPr>
                <w:rFonts w:asciiTheme="majorHAnsi" w:hAnsiTheme="majorHAnsi" w:cs="Times New Roman"/>
                <w:sz w:val="20"/>
                <w:szCs w:val="20"/>
                <w:lang w:val="pt-BR"/>
              </w:rPr>
            </w:pPr>
            <w:bookmarkStart w:id="2" w:name="_Hlk51949917"/>
            <w:r w:rsidRPr="00E4692E">
              <w:rPr>
                <w:rFonts w:ascii="Cambria" w:eastAsia="Calibri" w:hAnsi="Cambria"/>
                <w:sz w:val="20"/>
                <w:szCs w:val="20"/>
                <w:lang w:val="pt-BR"/>
              </w:rPr>
              <w:t>No que se refere ao</w:t>
            </w:r>
            <w:r w:rsidRPr="00E4692E">
              <w:rPr>
                <w:rFonts w:asciiTheme="majorHAnsi" w:hAnsiTheme="majorHAnsi" w:cs="Times New Roman"/>
                <w:sz w:val="20"/>
                <w:szCs w:val="20"/>
                <w:lang w:val="pt-BR"/>
              </w:rPr>
              <w:t xml:space="preserve"> Protocolo 1122961, com resposta do CAU/BR sobre inserção de CNAE em registros de empresas, e considerando que ainda resta</w:t>
            </w:r>
            <w:r w:rsidR="00D646E9">
              <w:rPr>
                <w:rFonts w:asciiTheme="majorHAnsi" w:hAnsiTheme="majorHAnsi" w:cs="Times New Roman"/>
                <w:sz w:val="20"/>
                <w:szCs w:val="20"/>
                <w:lang w:val="pt-BR"/>
              </w:rPr>
              <w:t>m</w:t>
            </w:r>
            <w:r w:rsidRPr="00E4692E">
              <w:rPr>
                <w:rFonts w:asciiTheme="majorHAnsi" w:hAnsiTheme="majorHAnsi" w:cs="Times New Roman"/>
                <w:sz w:val="20"/>
                <w:szCs w:val="20"/>
                <w:lang w:val="pt-BR"/>
              </w:rPr>
              <w:t xml:space="preserve"> dúvidas sobre tal determinação, e ainda que são encontradas empresas que as CNAE demonstradas não</w:t>
            </w:r>
            <w:r w:rsidR="001677D5" w:rsidRPr="00E4692E">
              <w:rPr>
                <w:rFonts w:asciiTheme="majorHAnsi" w:hAnsiTheme="majorHAnsi" w:cs="Times New Roman"/>
                <w:sz w:val="20"/>
                <w:szCs w:val="20"/>
                <w:lang w:val="pt-BR"/>
              </w:rPr>
              <w:t xml:space="preserve"> estão diretamente relacionadas aos objetivos sociais, a </w:t>
            </w:r>
            <w:r w:rsidRPr="00E4692E">
              <w:rPr>
                <w:rFonts w:asciiTheme="majorHAnsi" w:hAnsiTheme="majorHAnsi" w:cs="Times New Roman"/>
                <w:sz w:val="20"/>
                <w:szCs w:val="20"/>
                <w:lang w:val="pt-BR"/>
              </w:rPr>
              <w:t>Comissão decidiu por solicitar nova orientação da CEP para as empresas nest</w:t>
            </w:r>
            <w:r w:rsidR="001677D5" w:rsidRPr="00E4692E">
              <w:rPr>
                <w:rFonts w:asciiTheme="majorHAnsi" w:hAnsiTheme="majorHAnsi" w:cs="Times New Roman"/>
                <w:sz w:val="20"/>
                <w:szCs w:val="20"/>
                <w:lang w:val="pt-BR"/>
              </w:rPr>
              <w:t>as circunstancias, questionamento ainda se não seria mais seguro para empresas licitantes apresentar certidões com as classificações conforme consta em seu CNPJ, uma vez que tal assunto já foi objeto de questionamento em Minas Gerais, durante certames licitatórios.</w:t>
            </w:r>
          </w:p>
          <w:bookmarkEnd w:id="2"/>
          <w:p w14:paraId="1EA95435" w14:textId="77777777" w:rsidR="00421201" w:rsidRPr="005027F9" w:rsidRDefault="00421201" w:rsidP="005027F9">
            <w:pPr>
              <w:rPr>
                <w:rFonts w:asciiTheme="majorHAnsi" w:hAnsiTheme="majorHAnsi" w:cs="Times New Roman"/>
                <w:sz w:val="10"/>
                <w:szCs w:val="10"/>
                <w:lang w:val="pt-BR"/>
              </w:rPr>
            </w:pPr>
          </w:p>
          <w:p w14:paraId="026591BB" w14:textId="60724B84" w:rsidR="00421201" w:rsidRPr="00E4692E" w:rsidRDefault="00C0474F" w:rsidP="00421201">
            <w:pPr>
              <w:pStyle w:val="PargrafodaLista"/>
              <w:numPr>
                <w:ilvl w:val="1"/>
                <w:numId w:val="1"/>
              </w:numPr>
              <w:rPr>
                <w:rFonts w:asciiTheme="majorHAnsi" w:hAnsiTheme="majorHAnsi" w:cs="Times New Roman"/>
                <w:sz w:val="20"/>
                <w:szCs w:val="20"/>
                <w:lang w:val="pt-BR"/>
              </w:rPr>
            </w:pPr>
            <w:r w:rsidRPr="00E4692E">
              <w:rPr>
                <w:rFonts w:asciiTheme="majorHAnsi" w:hAnsiTheme="majorHAnsi" w:cs="Times New Roman"/>
                <w:sz w:val="20"/>
                <w:szCs w:val="20"/>
                <w:lang w:val="pt-BR"/>
              </w:rPr>
              <w:t xml:space="preserve">Relativamente ao </w:t>
            </w:r>
            <w:r w:rsidR="00421201" w:rsidRPr="00E4692E">
              <w:rPr>
                <w:rFonts w:asciiTheme="majorHAnsi" w:hAnsiTheme="majorHAnsi" w:cs="Times New Roman"/>
                <w:sz w:val="20"/>
                <w:szCs w:val="20"/>
                <w:lang w:val="pt-BR"/>
              </w:rPr>
              <w:t>Protocolo</w:t>
            </w:r>
            <w:r w:rsidR="00B37091" w:rsidRPr="00E4692E">
              <w:rPr>
                <w:rFonts w:asciiTheme="majorHAnsi" w:hAnsiTheme="majorHAnsi" w:cs="Times New Roman"/>
                <w:sz w:val="20"/>
                <w:szCs w:val="20"/>
                <w:lang w:val="pt-BR"/>
              </w:rPr>
              <w:t xml:space="preserve"> </w:t>
            </w:r>
            <w:r w:rsidR="00421201" w:rsidRPr="00E4692E">
              <w:rPr>
                <w:rFonts w:asciiTheme="majorHAnsi" w:hAnsiTheme="majorHAnsi" w:cs="Times New Roman"/>
                <w:sz w:val="20"/>
                <w:szCs w:val="20"/>
                <w:lang w:val="pt-BR"/>
              </w:rPr>
              <w:t>1112236</w:t>
            </w:r>
            <w:r w:rsidRPr="00E4692E">
              <w:rPr>
                <w:rFonts w:asciiTheme="majorHAnsi" w:hAnsiTheme="majorHAnsi" w:cs="Times New Roman"/>
                <w:sz w:val="20"/>
                <w:szCs w:val="20"/>
                <w:lang w:val="pt-BR"/>
              </w:rPr>
              <w:t>,</w:t>
            </w:r>
            <w:r w:rsidRPr="00E4692E">
              <w:rPr>
                <w:lang w:val="pt-BR"/>
              </w:rPr>
              <w:t xml:space="preserve"> </w:t>
            </w:r>
            <w:r w:rsidRPr="00E4692E">
              <w:rPr>
                <w:rFonts w:asciiTheme="majorHAnsi" w:hAnsiTheme="majorHAnsi" w:cs="Times New Roman"/>
                <w:sz w:val="20"/>
                <w:szCs w:val="20"/>
                <w:lang w:val="pt-BR"/>
              </w:rPr>
              <w:t>com resposta do CAU/BR sobre aprovação de Registros de Direto Autoral, sobre serviços de restauro e r</w:t>
            </w:r>
            <w:r w:rsidR="00421201" w:rsidRPr="00E4692E">
              <w:rPr>
                <w:rFonts w:asciiTheme="majorHAnsi" w:hAnsiTheme="majorHAnsi" w:cs="Times New Roman"/>
                <w:sz w:val="20"/>
                <w:szCs w:val="20"/>
                <w:lang w:val="pt-BR"/>
              </w:rPr>
              <w:t>equalificação</w:t>
            </w:r>
            <w:r w:rsidRPr="00E4692E">
              <w:rPr>
                <w:rFonts w:asciiTheme="majorHAnsi" w:hAnsiTheme="majorHAnsi" w:cs="Times New Roman"/>
                <w:sz w:val="20"/>
                <w:szCs w:val="20"/>
                <w:lang w:val="pt-BR"/>
              </w:rPr>
              <w:t xml:space="preserve">, e considerando o documento de número 1749, pendente de aprovação, a Comissão decidiu por deferir o requerimento. </w:t>
            </w:r>
          </w:p>
          <w:p w14:paraId="1BC8025D" w14:textId="77777777" w:rsidR="00B37091" w:rsidRPr="00B37091" w:rsidRDefault="00B37091" w:rsidP="00B37091">
            <w:pPr>
              <w:rPr>
                <w:rFonts w:asciiTheme="majorHAnsi" w:hAnsiTheme="majorHAnsi" w:cs="Times New Roman"/>
                <w:sz w:val="10"/>
                <w:szCs w:val="10"/>
                <w:lang w:val="pt-BR"/>
              </w:rPr>
            </w:pPr>
          </w:p>
          <w:p w14:paraId="5A7EBD59" w14:textId="2B282456" w:rsidR="00421201" w:rsidRPr="00BD43B2" w:rsidRDefault="00C0474F" w:rsidP="00803270">
            <w:pPr>
              <w:pStyle w:val="PargrafodaLista"/>
              <w:numPr>
                <w:ilvl w:val="1"/>
                <w:numId w:val="1"/>
              </w:numPr>
              <w:rPr>
                <w:rFonts w:asciiTheme="majorHAnsi" w:hAnsiTheme="majorHAnsi" w:cs="Times New Roman"/>
                <w:sz w:val="20"/>
                <w:szCs w:val="20"/>
                <w:lang w:val="pt-BR"/>
              </w:rPr>
            </w:pPr>
            <w:bookmarkStart w:id="3" w:name="_Hlk51941314"/>
            <w:r w:rsidRPr="00BD43B2">
              <w:rPr>
                <w:rFonts w:asciiTheme="majorHAnsi" w:hAnsiTheme="majorHAnsi" w:cs="Times New Roman"/>
                <w:sz w:val="20"/>
                <w:szCs w:val="20"/>
                <w:lang w:val="pt-BR"/>
              </w:rPr>
              <w:t xml:space="preserve">Considerando o </w:t>
            </w:r>
            <w:r w:rsidR="00B37091" w:rsidRPr="00BD43B2">
              <w:rPr>
                <w:rFonts w:asciiTheme="majorHAnsi" w:hAnsiTheme="majorHAnsi" w:cs="Times New Roman"/>
                <w:sz w:val="20"/>
                <w:szCs w:val="20"/>
                <w:lang w:val="pt-BR"/>
              </w:rPr>
              <w:t>Parecer Jurídico</w:t>
            </w:r>
            <w:r w:rsidR="00B37091" w:rsidRPr="00BD43B2">
              <w:rPr>
                <w:lang w:val="pt-BR"/>
              </w:rPr>
              <w:t xml:space="preserve"> </w:t>
            </w:r>
            <w:r w:rsidR="00B37091" w:rsidRPr="00BD43B2">
              <w:rPr>
                <w:rFonts w:asciiTheme="majorHAnsi" w:hAnsiTheme="majorHAnsi" w:cs="Times New Roman"/>
                <w:sz w:val="20"/>
                <w:szCs w:val="20"/>
                <w:lang w:val="pt-BR"/>
              </w:rPr>
              <w:t>GJ-CAU/MG Nº 74/2020, encaminhado em resposta à Deliberação CEP 163.6.2/2020, (Protocolo</w:t>
            </w:r>
            <w:r w:rsidR="00B37091" w:rsidRPr="00BD43B2">
              <w:rPr>
                <w:lang w:val="pt-BR"/>
              </w:rPr>
              <w:t xml:space="preserve"> </w:t>
            </w:r>
            <w:r w:rsidR="00B37091" w:rsidRPr="00BD43B2">
              <w:rPr>
                <w:rFonts w:asciiTheme="majorHAnsi" w:hAnsiTheme="majorHAnsi" w:cs="Times New Roman"/>
                <w:sz w:val="20"/>
                <w:szCs w:val="20"/>
                <w:lang w:val="pt-BR"/>
              </w:rPr>
              <w:t>1147697), foi decidido por solicitar que a Gerencia Técnica e de Fiscalização inicie os requerimentos nos municípios onde há sede ou escritório descentralizado do CAU/MG, e, havendo omissão ou negativa de envio dos dados, encaminhar os casos à Gerência Jurídica para análise de alternativas junto ao Poder Judiciário.</w:t>
            </w:r>
          </w:p>
          <w:bookmarkEnd w:id="3"/>
          <w:p w14:paraId="239EC630" w14:textId="77777777" w:rsidR="00B37091" w:rsidRPr="00B37091" w:rsidRDefault="00B37091" w:rsidP="00B37091">
            <w:pPr>
              <w:rPr>
                <w:rFonts w:asciiTheme="majorHAnsi" w:hAnsiTheme="majorHAnsi" w:cs="Times New Roman"/>
                <w:sz w:val="10"/>
                <w:szCs w:val="10"/>
                <w:lang w:val="pt-BR"/>
              </w:rPr>
            </w:pPr>
          </w:p>
          <w:p w14:paraId="3E06BD73" w14:textId="20AE9ACB" w:rsidR="00B37091" w:rsidRPr="00356087" w:rsidRDefault="005027F9" w:rsidP="00803270">
            <w:pPr>
              <w:pStyle w:val="PargrafodaLista"/>
              <w:numPr>
                <w:ilvl w:val="1"/>
                <w:numId w:val="1"/>
              </w:numPr>
              <w:rPr>
                <w:rFonts w:asciiTheme="majorHAnsi" w:hAnsiTheme="majorHAnsi" w:cs="Times New Roman"/>
                <w:sz w:val="20"/>
                <w:szCs w:val="20"/>
                <w:lang w:val="pt-BR"/>
              </w:rPr>
            </w:pPr>
            <w:bookmarkStart w:id="4" w:name="_Hlk51938452"/>
            <w:r w:rsidRPr="00356087">
              <w:rPr>
                <w:rFonts w:asciiTheme="majorHAnsi" w:hAnsiTheme="majorHAnsi" w:cs="Times New Roman"/>
                <w:sz w:val="20"/>
                <w:szCs w:val="20"/>
                <w:lang w:val="pt-BR"/>
              </w:rPr>
              <w:t>Relativamente ao Evento Integrador previsto para o fim deste mês, e considerando o período eleitoral no CAU, que se aproxima, apesar de não haver impedimentos para sua realização, a Comissão resolveu por adiar sua realização para 24 de novembro.</w:t>
            </w:r>
          </w:p>
          <w:bookmarkEnd w:id="4"/>
          <w:p w14:paraId="5BAEC363" w14:textId="77777777" w:rsidR="005027F9" w:rsidRPr="005027F9" w:rsidRDefault="005027F9" w:rsidP="005027F9">
            <w:pPr>
              <w:pStyle w:val="PargrafodaLista"/>
              <w:rPr>
                <w:rFonts w:asciiTheme="majorHAnsi" w:hAnsiTheme="majorHAnsi" w:cs="Times New Roman"/>
                <w:sz w:val="20"/>
                <w:szCs w:val="20"/>
                <w:lang w:val="pt-BR"/>
              </w:rPr>
            </w:pPr>
          </w:p>
          <w:p w14:paraId="65752F91" w14:textId="2A40513B" w:rsidR="005027F9" w:rsidRPr="00C43DB1" w:rsidRDefault="005027F9" w:rsidP="00803270">
            <w:pPr>
              <w:pStyle w:val="PargrafodaLista"/>
              <w:numPr>
                <w:ilvl w:val="1"/>
                <w:numId w:val="1"/>
              </w:numPr>
              <w:rPr>
                <w:rFonts w:asciiTheme="majorHAnsi" w:hAnsiTheme="majorHAnsi" w:cs="Times New Roman"/>
                <w:sz w:val="20"/>
                <w:szCs w:val="20"/>
                <w:lang w:val="pt-BR"/>
              </w:rPr>
            </w:pPr>
            <w:bookmarkStart w:id="5" w:name="_Hlk51947069"/>
            <w:r w:rsidRPr="00C43DB1">
              <w:rPr>
                <w:rFonts w:asciiTheme="majorHAnsi" w:hAnsiTheme="majorHAnsi" w:cs="Times New Roman"/>
                <w:sz w:val="20"/>
                <w:szCs w:val="20"/>
                <w:lang w:val="pt-BR"/>
              </w:rPr>
              <w:t xml:space="preserve">Foi deliberado pela Comissão por solicitar à Presidência do CAU/MG que </w:t>
            </w:r>
            <w:r w:rsidR="00A15CA7" w:rsidRPr="00C43DB1">
              <w:rPr>
                <w:rFonts w:asciiTheme="majorHAnsi" w:hAnsiTheme="majorHAnsi" w:cs="Times New Roman"/>
                <w:sz w:val="20"/>
                <w:szCs w:val="20"/>
                <w:lang w:val="pt-BR"/>
              </w:rPr>
              <w:t>realize</w:t>
            </w:r>
            <w:r w:rsidRPr="00C43DB1">
              <w:rPr>
                <w:rFonts w:asciiTheme="majorHAnsi" w:hAnsiTheme="majorHAnsi" w:cs="Times New Roman"/>
                <w:sz w:val="20"/>
                <w:szCs w:val="20"/>
                <w:lang w:val="pt-BR"/>
              </w:rPr>
              <w:t xml:space="preserve"> os procedimentos de viabilidade e compra de sistema informático para elaboração de RRTs, para substituição do SICCAU quando este apresentar falha, instabilidade ou inconsistência, como as apresentadas quando da realização desta reunião.</w:t>
            </w:r>
          </w:p>
          <w:bookmarkEnd w:id="5"/>
          <w:p w14:paraId="151864CE" w14:textId="0F511F6B" w:rsidR="00803270" w:rsidRPr="00803270" w:rsidRDefault="00803270" w:rsidP="00803270">
            <w:pPr>
              <w:rPr>
                <w:rFonts w:asciiTheme="majorHAnsi" w:hAnsiTheme="majorHAnsi" w:cs="Times New Roman"/>
                <w:sz w:val="10"/>
                <w:szCs w:val="10"/>
                <w:lang w:val="pt-BR"/>
              </w:rPr>
            </w:pPr>
          </w:p>
        </w:tc>
      </w:tr>
    </w:tbl>
    <w:p w14:paraId="139D3432" w14:textId="10E80FF3" w:rsidR="004F11E4" w:rsidRDefault="004F11E4">
      <w:pPr>
        <w:rPr>
          <w:sz w:val="20"/>
          <w:szCs w:val="20"/>
          <w:lang w:val="pt-BR"/>
        </w:rPr>
      </w:pPr>
    </w:p>
    <w:tbl>
      <w:tblPr>
        <w:tblStyle w:val="Tabelacomgrelha1"/>
        <w:tblW w:w="10201" w:type="dxa"/>
        <w:tblLook w:val="04A0" w:firstRow="1" w:lastRow="0" w:firstColumn="1" w:lastColumn="0" w:noHBand="0" w:noVBand="1"/>
      </w:tblPr>
      <w:tblGrid>
        <w:gridCol w:w="4296"/>
        <w:gridCol w:w="5905"/>
      </w:tblGrid>
      <w:tr w:rsidR="001616F5" w:rsidRPr="00A15CA7" w14:paraId="77D09B59" w14:textId="77777777" w:rsidTr="00803270">
        <w:trPr>
          <w:trHeight w:val="539"/>
        </w:trPr>
        <w:tc>
          <w:tcPr>
            <w:tcW w:w="10201" w:type="dxa"/>
            <w:gridSpan w:val="2"/>
            <w:shd w:val="clear" w:color="auto" w:fill="BFBFBF"/>
            <w:vAlign w:val="center"/>
          </w:tcPr>
          <w:p w14:paraId="2429EF5D" w14:textId="11A4DB50" w:rsidR="001616F5" w:rsidRPr="00332B42" w:rsidRDefault="008656E7">
            <w:pPr>
              <w:widowControl/>
              <w:jc w:val="center"/>
              <w:rPr>
                <w:rFonts w:asciiTheme="majorHAnsi" w:hAnsiTheme="majorHAnsi" w:cs="Times New Roman"/>
                <w:b/>
                <w:szCs w:val="20"/>
              </w:rPr>
            </w:pPr>
            <w:r>
              <w:rPr>
                <w:rFonts w:asciiTheme="majorHAnsi" w:hAnsiTheme="majorHAnsi" w:cs="Times New Roman"/>
                <w:b/>
                <w:szCs w:val="20"/>
              </w:rPr>
              <w:t>COMISSÃO DE EXERCÍCIO PROFISSIONAL DO CAU/MG</w:t>
            </w:r>
          </w:p>
        </w:tc>
      </w:tr>
      <w:tr w:rsidR="001616F5" w14:paraId="076ED727" w14:textId="77777777" w:rsidTr="00803270">
        <w:trPr>
          <w:trHeight w:val="539"/>
        </w:trPr>
        <w:tc>
          <w:tcPr>
            <w:tcW w:w="4296" w:type="dxa"/>
            <w:shd w:val="clear" w:color="auto" w:fill="auto"/>
            <w:vAlign w:val="center"/>
          </w:tcPr>
          <w:p w14:paraId="18E49A00" w14:textId="77777777" w:rsidR="001616F5" w:rsidRDefault="008656E7">
            <w:pPr>
              <w:widowControl/>
              <w:jc w:val="center"/>
              <w:rPr>
                <w:rFonts w:asciiTheme="majorHAnsi" w:hAnsiTheme="majorHAnsi" w:cs="Times New Roman"/>
                <w:b/>
                <w:sz w:val="20"/>
                <w:szCs w:val="20"/>
              </w:rPr>
            </w:pPr>
            <w:r>
              <w:rPr>
                <w:rFonts w:asciiTheme="majorHAnsi" w:hAnsiTheme="majorHAnsi" w:cs="Times New Roman"/>
                <w:b/>
                <w:sz w:val="20"/>
                <w:szCs w:val="20"/>
              </w:rPr>
              <w:t>CONSELHEIRO(A) ESTADUAL</w:t>
            </w:r>
          </w:p>
        </w:tc>
        <w:tc>
          <w:tcPr>
            <w:tcW w:w="5905" w:type="dxa"/>
            <w:shd w:val="clear" w:color="auto" w:fill="auto"/>
            <w:vAlign w:val="center"/>
          </w:tcPr>
          <w:p w14:paraId="14F49E6F" w14:textId="77777777" w:rsidR="001616F5" w:rsidRDefault="008656E7">
            <w:pPr>
              <w:widowControl/>
              <w:jc w:val="center"/>
              <w:rPr>
                <w:rFonts w:asciiTheme="majorHAnsi" w:hAnsiTheme="majorHAnsi" w:cs="Times New Roman"/>
                <w:b/>
                <w:sz w:val="20"/>
                <w:szCs w:val="20"/>
              </w:rPr>
            </w:pPr>
            <w:r>
              <w:rPr>
                <w:rFonts w:asciiTheme="majorHAnsi" w:hAnsiTheme="majorHAnsi" w:cs="Times New Roman"/>
                <w:b/>
                <w:sz w:val="20"/>
                <w:szCs w:val="20"/>
              </w:rPr>
              <w:t>ASSINATURA</w:t>
            </w:r>
          </w:p>
        </w:tc>
      </w:tr>
      <w:tr w:rsidR="001616F5" w:rsidRPr="00A15CA7" w14:paraId="4ABE2DBF" w14:textId="77777777" w:rsidTr="00803270">
        <w:trPr>
          <w:trHeight w:val="539"/>
        </w:trPr>
        <w:tc>
          <w:tcPr>
            <w:tcW w:w="4296" w:type="dxa"/>
            <w:shd w:val="clear" w:color="auto" w:fill="auto"/>
            <w:vAlign w:val="center"/>
          </w:tcPr>
          <w:p w14:paraId="4240A9F1" w14:textId="77777777" w:rsidR="001616F5" w:rsidRPr="00332B42" w:rsidRDefault="008656E7">
            <w:pPr>
              <w:widowControl/>
              <w:spacing w:line="276" w:lineRule="auto"/>
              <w:rPr>
                <w:rFonts w:asciiTheme="majorHAnsi" w:hAnsiTheme="majorHAnsi" w:cs="Times New Roman"/>
                <w:sz w:val="20"/>
                <w:szCs w:val="21"/>
              </w:rPr>
            </w:pPr>
            <w:r>
              <w:rPr>
                <w:rFonts w:asciiTheme="majorHAnsi" w:hAnsiTheme="majorHAnsi" w:cs="Times New Roman"/>
                <w:sz w:val="20"/>
                <w:szCs w:val="21"/>
              </w:rPr>
              <w:t>Ademir Nogueira de Ávila</w:t>
            </w:r>
            <w:r>
              <w:rPr>
                <w:rFonts w:asciiTheme="majorHAnsi" w:hAnsiTheme="majorHAnsi" w:cs="Times New Roman"/>
                <w:sz w:val="18"/>
                <w:szCs w:val="21"/>
              </w:rPr>
              <w:t xml:space="preserve"> - </w:t>
            </w:r>
            <w:r>
              <w:rPr>
                <w:rFonts w:asciiTheme="majorHAnsi" w:hAnsiTheme="majorHAnsi" w:cs="Times New Roman"/>
                <w:i/>
                <w:sz w:val="18"/>
                <w:szCs w:val="21"/>
              </w:rPr>
              <w:t>Coordenador</w:t>
            </w:r>
          </w:p>
          <w:p w14:paraId="45C453EC" w14:textId="349EA15F" w:rsidR="001616F5" w:rsidRPr="00332B42" w:rsidRDefault="005908CA">
            <w:pPr>
              <w:widowControl/>
              <w:spacing w:line="276" w:lineRule="auto"/>
              <w:rPr>
                <w:rFonts w:asciiTheme="majorHAnsi" w:hAnsiTheme="majorHAnsi" w:cs="Times New Roman"/>
                <w:sz w:val="18"/>
                <w:szCs w:val="17"/>
              </w:rPr>
            </w:pPr>
            <w:r>
              <w:rPr>
                <w:rFonts w:ascii="Wingdings" w:eastAsia="Wingdings" w:hAnsi="Wingdings" w:cs="Wingdings"/>
                <w:sz w:val="18"/>
                <w:szCs w:val="17"/>
              </w:rPr>
              <w:t></w:t>
            </w:r>
            <w:r>
              <w:rPr>
                <w:rFonts w:asciiTheme="majorHAnsi" w:hAnsiTheme="majorHAnsi" w:cs="Times New Roman"/>
                <w:sz w:val="18"/>
                <w:szCs w:val="17"/>
              </w:rPr>
              <w:t xml:space="preserve"> [</w:t>
            </w:r>
            <w:r w:rsidR="008656E7">
              <w:rPr>
                <w:rFonts w:asciiTheme="majorHAnsi" w:hAnsiTheme="majorHAnsi" w:cs="Times New Roman"/>
                <w:i/>
                <w:sz w:val="18"/>
                <w:szCs w:val="17"/>
              </w:rPr>
              <w:t>vago</w:t>
            </w:r>
            <w:r w:rsidR="008656E7">
              <w:rPr>
                <w:rFonts w:asciiTheme="majorHAnsi" w:hAnsiTheme="majorHAnsi" w:cs="Times New Roman"/>
                <w:sz w:val="18"/>
                <w:szCs w:val="17"/>
              </w:rPr>
              <w:t>]</w:t>
            </w:r>
          </w:p>
        </w:tc>
        <w:tc>
          <w:tcPr>
            <w:tcW w:w="5905" w:type="dxa"/>
            <w:shd w:val="clear" w:color="auto" w:fill="auto"/>
            <w:vAlign w:val="center"/>
          </w:tcPr>
          <w:p w14:paraId="17D4689E" w14:textId="77777777" w:rsidR="001616F5" w:rsidRDefault="001616F5">
            <w:pPr>
              <w:widowControl/>
              <w:spacing w:line="276" w:lineRule="auto"/>
              <w:jc w:val="center"/>
              <w:rPr>
                <w:rFonts w:asciiTheme="majorHAnsi" w:hAnsiTheme="majorHAnsi" w:cs="Times New Roman"/>
                <w:sz w:val="20"/>
                <w:szCs w:val="20"/>
              </w:rPr>
            </w:pPr>
          </w:p>
        </w:tc>
      </w:tr>
      <w:tr w:rsidR="001616F5" w:rsidRPr="00A15CA7" w14:paraId="62E23C4C" w14:textId="77777777" w:rsidTr="00803270">
        <w:trPr>
          <w:trHeight w:val="539"/>
        </w:trPr>
        <w:tc>
          <w:tcPr>
            <w:tcW w:w="4296" w:type="dxa"/>
            <w:shd w:val="clear" w:color="auto" w:fill="auto"/>
            <w:vAlign w:val="center"/>
          </w:tcPr>
          <w:p w14:paraId="7CEDC2A3" w14:textId="77777777" w:rsidR="001616F5" w:rsidRDefault="008656E7">
            <w:pPr>
              <w:widowControl/>
              <w:spacing w:line="276" w:lineRule="auto"/>
              <w:rPr>
                <w:rFonts w:asciiTheme="majorHAnsi" w:hAnsiTheme="majorHAnsi" w:cs="Times New Roman"/>
                <w:sz w:val="20"/>
                <w:szCs w:val="21"/>
              </w:rPr>
            </w:pPr>
            <w:r>
              <w:rPr>
                <w:rFonts w:asciiTheme="majorHAnsi" w:hAnsiTheme="majorHAnsi" w:cs="Times New Roman"/>
                <w:sz w:val="20"/>
                <w:szCs w:val="21"/>
              </w:rPr>
              <w:t xml:space="preserve">Maria Edwiges Sobreira Leal </w:t>
            </w:r>
            <w:r>
              <w:rPr>
                <w:rFonts w:asciiTheme="majorHAnsi" w:hAnsiTheme="majorHAnsi" w:cs="Times New Roman"/>
                <w:i/>
                <w:sz w:val="18"/>
                <w:szCs w:val="18"/>
              </w:rPr>
              <w:t>Coord. Adjunta</w:t>
            </w:r>
          </w:p>
          <w:p w14:paraId="4850E7A4" w14:textId="645700E3" w:rsidR="001616F5" w:rsidRPr="00332B42" w:rsidRDefault="005908CA">
            <w:pPr>
              <w:widowControl/>
              <w:spacing w:line="276" w:lineRule="auto"/>
              <w:rPr>
                <w:rFonts w:asciiTheme="majorHAnsi" w:hAnsiTheme="majorHAnsi" w:cs="Times New Roman"/>
                <w:sz w:val="20"/>
                <w:szCs w:val="21"/>
              </w:rPr>
            </w:pPr>
            <w:r>
              <w:rPr>
                <w:rFonts w:ascii="Wingdings" w:eastAsia="Wingdings" w:hAnsi="Wingdings" w:cs="Wingdings"/>
                <w:sz w:val="18"/>
                <w:szCs w:val="17"/>
              </w:rPr>
              <w:t></w:t>
            </w:r>
            <w:r>
              <w:rPr>
                <w:rFonts w:asciiTheme="majorHAnsi" w:hAnsiTheme="majorHAnsi" w:cs="Times New Roman"/>
                <w:sz w:val="18"/>
                <w:szCs w:val="17"/>
              </w:rPr>
              <w:t xml:space="preserve"> Patricia</w:t>
            </w:r>
            <w:r w:rsidR="008656E7">
              <w:rPr>
                <w:rFonts w:asciiTheme="majorHAnsi" w:hAnsiTheme="majorHAnsi" w:cs="Times New Roman"/>
                <w:sz w:val="18"/>
                <w:szCs w:val="17"/>
              </w:rPr>
              <w:t xml:space="preserve"> Elizabeth Ferreira Gomes Barbosa (S)</w:t>
            </w:r>
          </w:p>
        </w:tc>
        <w:tc>
          <w:tcPr>
            <w:tcW w:w="5905" w:type="dxa"/>
            <w:shd w:val="clear" w:color="auto" w:fill="auto"/>
            <w:vAlign w:val="center"/>
          </w:tcPr>
          <w:p w14:paraId="62D3654E" w14:textId="77777777" w:rsidR="001616F5" w:rsidRDefault="001616F5">
            <w:pPr>
              <w:widowControl/>
              <w:spacing w:line="276" w:lineRule="auto"/>
              <w:jc w:val="center"/>
              <w:rPr>
                <w:rFonts w:asciiTheme="majorHAnsi" w:hAnsiTheme="majorHAnsi" w:cs="Times New Roman"/>
                <w:sz w:val="20"/>
                <w:szCs w:val="20"/>
              </w:rPr>
            </w:pPr>
          </w:p>
        </w:tc>
      </w:tr>
      <w:tr w:rsidR="001616F5" w:rsidRPr="00A15CA7" w14:paraId="7862580B" w14:textId="77777777" w:rsidTr="00803270">
        <w:trPr>
          <w:trHeight w:val="539"/>
        </w:trPr>
        <w:tc>
          <w:tcPr>
            <w:tcW w:w="4296" w:type="dxa"/>
            <w:shd w:val="clear" w:color="auto" w:fill="auto"/>
            <w:vAlign w:val="center"/>
          </w:tcPr>
          <w:p w14:paraId="1C301D15" w14:textId="77777777" w:rsidR="001616F5" w:rsidRPr="00332B42" w:rsidRDefault="008656E7">
            <w:pPr>
              <w:widowControl/>
              <w:spacing w:line="276" w:lineRule="auto"/>
              <w:rPr>
                <w:rFonts w:asciiTheme="majorHAnsi" w:hAnsiTheme="majorHAnsi" w:cs="Times New Roman"/>
                <w:i/>
                <w:sz w:val="20"/>
                <w:szCs w:val="21"/>
              </w:rPr>
            </w:pPr>
            <w:r>
              <w:rPr>
                <w:rFonts w:asciiTheme="majorHAnsi" w:hAnsiTheme="majorHAnsi" w:cs="Times New Roman"/>
                <w:sz w:val="21"/>
                <w:szCs w:val="21"/>
              </w:rPr>
              <w:t xml:space="preserve">Ariel </w:t>
            </w:r>
            <w:proofErr w:type="spellStart"/>
            <w:r>
              <w:rPr>
                <w:rFonts w:asciiTheme="majorHAnsi" w:hAnsiTheme="majorHAnsi" w:cs="Times New Roman"/>
                <w:sz w:val="21"/>
                <w:szCs w:val="21"/>
              </w:rPr>
              <w:t>Luis</w:t>
            </w:r>
            <w:proofErr w:type="spellEnd"/>
            <w:r>
              <w:rPr>
                <w:rFonts w:asciiTheme="majorHAnsi" w:hAnsiTheme="majorHAnsi" w:cs="Times New Roman"/>
                <w:sz w:val="21"/>
                <w:szCs w:val="21"/>
              </w:rPr>
              <w:t xml:space="preserve"> Lazzarin</w:t>
            </w:r>
          </w:p>
          <w:p w14:paraId="7CD87090" w14:textId="251D8738" w:rsidR="001616F5" w:rsidRPr="00332B42" w:rsidRDefault="00803270">
            <w:pPr>
              <w:widowControl/>
              <w:spacing w:line="276" w:lineRule="auto"/>
              <w:rPr>
                <w:rFonts w:asciiTheme="majorHAnsi" w:hAnsiTheme="majorHAnsi" w:cs="Times New Roman"/>
                <w:sz w:val="21"/>
                <w:szCs w:val="21"/>
              </w:rPr>
            </w:pPr>
            <w:r w:rsidRPr="00803270">
              <w:rPr>
                <w:rFonts w:ascii="Wingdings" w:eastAsia="Wingdings" w:hAnsi="Wingdings" w:cs="Wingdings"/>
                <w:sz w:val="23"/>
                <w:szCs w:val="23"/>
              </w:rPr>
              <w:sym w:font="Wingdings" w:char="F06E"/>
            </w:r>
            <w:r w:rsidR="005908CA">
              <w:rPr>
                <w:rFonts w:asciiTheme="majorHAnsi" w:hAnsiTheme="majorHAnsi" w:cs="Times New Roman"/>
                <w:sz w:val="19"/>
                <w:szCs w:val="19"/>
              </w:rPr>
              <w:t xml:space="preserve"> Marcondes</w:t>
            </w:r>
            <w:r w:rsidR="008656E7">
              <w:rPr>
                <w:rFonts w:asciiTheme="majorHAnsi" w:hAnsiTheme="majorHAnsi" w:cs="Times New Roman"/>
                <w:sz w:val="19"/>
                <w:szCs w:val="19"/>
              </w:rPr>
              <w:t xml:space="preserve"> Nunes de Freitas (S)</w:t>
            </w:r>
          </w:p>
        </w:tc>
        <w:tc>
          <w:tcPr>
            <w:tcW w:w="5905" w:type="dxa"/>
            <w:shd w:val="clear" w:color="auto" w:fill="auto"/>
            <w:vAlign w:val="center"/>
          </w:tcPr>
          <w:p w14:paraId="16633E86" w14:textId="77777777" w:rsidR="001616F5" w:rsidRDefault="001616F5">
            <w:pPr>
              <w:widowControl/>
              <w:spacing w:line="276" w:lineRule="auto"/>
              <w:jc w:val="center"/>
              <w:rPr>
                <w:rFonts w:asciiTheme="majorHAnsi" w:hAnsiTheme="majorHAnsi" w:cs="Times New Roman"/>
                <w:sz w:val="20"/>
                <w:szCs w:val="20"/>
              </w:rPr>
            </w:pPr>
          </w:p>
        </w:tc>
      </w:tr>
      <w:tr w:rsidR="001616F5" w:rsidRPr="00A15CA7" w14:paraId="5686F5B6" w14:textId="77777777" w:rsidTr="00803270">
        <w:trPr>
          <w:trHeight w:val="539"/>
        </w:trPr>
        <w:tc>
          <w:tcPr>
            <w:tcW w:w="4296" w:type="dxa"/>
            <w:shd w:val="clear" w:color="auto" w:fill="auto"/>
            <w:vAlign w:val="center"/>
          </w:tcPr>
          <w:p w14:paraId="6FD89521" w14:textId="77777777" w:rsidR="001616F5" w:rsidRPr="00332B42" w:rsidRDefault="008656E7">
            <w:pPr>
              <w:widowControl/>
              <w:spacing w:line="276" w:lineRule="auto"/>
              <w:rPr>
                <w:rFonts w:asciiTheme="majorHAnsi" w:hAnsiTheme="majorHAnsi" w:cs="Times New Roman"/>
                <w:sz w:val="20"/>
                <w:szCs w:val="21"/>
              </w:rPr>
            </w:pPr>
            <w:r>
              <w:rPr>
                <w:rFonts w:asciiTheme="majorHAnsi" w:hAnsiTheme="majorHAnsi" w:cs="Times New Roman"/>
                <w:sz w:val="20"/>
                <w:szCs w:val="21"/>
              </w:rPr>
              <w:t>Fábio Almeida Vieira</w:t>
            </w:r>
          </w:p>
          <w:p w14:paraId="62DE0BFF" w14:textId="77777777" w:rsidR="001616F5" w:rsidRPr="00332B42" w:rsidRDefault="008656E7">
            <w:pPr>
              <w:widowControl/>
              <w:spacing w:line="276" w:lineRule="auto"/>
              <w:rPr>
                <w:rFonts w:asciiTheme="majorHAnsi" w:hAnsiTheme="majorHAnsi" w:cs="Times New Roman"/>
                <w:sz w:val="20"/>
                <w:szCs w:val="21"/>
              </w:rPr>
            </w:pPr>
            <w:r>
              <w:rPr>
                <w:rFonts w:ascii="Wingdings" w:eastAsia="Wingdings" w:hAnsi="Wingdings" w:cs="Wingdings"/>
                <w:sz w:val="18"/>
                <w:szCs w:val="17"/>
              </w:rPr>
              <w:t></w:t>
            </w:r>
            <w:r>
              <w:rPr>
                <w:rFonts w:asciiTheme="majorHAnsi" w:hAnsiTheme="majorHAnsi" w:cs="Times New Roman"/>
                <w:sz w:val="18"/>
                <w:szCs w:val="17"/>
              </w:rPr>
              <w:t xml:space="preserve"> Regina </w:t>
            </w:r>
            <w:proofErr w:type="spellStart"/>
            <w:r>
              <w:rPr>
                <w:rFonts w:asciiTheme="majorHAnsi" w:hAnsiTheme="majorHAnsi" w:cs="Times New Roman"/>
                <w:sz w:val="18"/>
                <w:szCs w:val="17"/>
              </w:rPr>
              <w:t>Coeli</w:t>
            </w:r>
            <w:proofErr w:type="spellEnd"/>
            <w:r>
              <w:rPr>
                <w:rFonts w:asciiTheme="majorHAnsi" w:hAnsiTheme="majorHAnsi" w:cs="Times New Roman"/>
                <w:sz w:val="18"/>
                <w:szCs w:val="17"/>
              </w:rPr>
              <w:t xml:space="preserve"> Gouveia Varella (S)</w:t>
            </w:r>
          </w:p>
        </w:tc>
        <w:tc>
          <w:tcPr>
            <w:tcW w:w="5905" w:type="dxa"/>
            <w:shd w:val="clear" w:color="auto" w:fill="auto"/>
            <w:vAlign w:val="center"/>
          </w:tcPr>
          <w:p w14:paraId="7B7F1CF6" w14:textId="77777777" w:rsidR="001616F5" w:rsidRDefault="001616F5">
            <w:pPr>
              <w:widowControl/>
              <w:spacing w:line="276" w:lineRule="auto"/>
              <w:jc w:val="center"/>
              <w:rPr>
                <w:rFonts w:asciiTheme="majorHAnsi" w:hAnsiTheme="majorHAnsi" w:cs="Times New Roman"/>
                <w:sz w:val="20"/>
                <w:szCs w:val="20"/>
              </w:rPr>
            </w:pPr>
          </w:p>
        </w:tc>
      </w:tr>
    </w:tbl>
    <w:p w14:paraId="128D3A23" w14:textId="77777777" w:rsidR="001616F5" w:rsidRPr="00332B42" w:rsidRDefault="001616F5">
      <w:pPr>
        <w:rPr>
          <w:lang w:val="pt-BR"/>
        </w:rPr>
      </w:pPr>
    </w:p>
    <w:sectPr w:rsidR="001616F5" w:rsidRPr="00332B42">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EB0EA" w14:textId="77777777" w:rsidR="00A806AD" w:rsidRDefault="00A806AD">
      <w:r>
        <w:separator/>
      </w:r>
    </w:p>
  </w:endnote>
  <w:endnote w:type="continuationSeparator" w:id="0">
    <w:p w14:paraId="68D78048" w14:textId="77777777" w:rsidR="00A806AD" w:rsidRDefault="00A8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F085" w14:textId="77777777" w:rsidR="001616F5" w:rsidRDefault="008656E7">
    <w:pPr>
      <w:pStyle w:val="Rodap"/>
      <w:jc w:val="right"/>
    </w:pPr>
    <w:r>
      <w:rPr>
        <w:noProof/>
      </w:rPr>
      <w:drawing>
        <wp:anchor distT="0" distB="0" distL="0" distR="0" simplePos="0" relativeHeight="9" behindDoc="1" locked="0" layoutInCell="1" allowOverlap="1" wp14:anchorId="31FA026F" wp14:editId="5F3C1E42">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6A2E" w14:textId="77777777" w:rsidR="00A806AD" w:rsidRDefault="00A806AD">
      <w:r>
        <w:separator/>
      </w:r>
    </w:p>
  </w:footnote>
  <w:footnote w:type="continuationSeparator" w:id="0">
    <w:p w14:paraId="577FC1F4" w14:textId="77777777" w:rsidR="00A806AD" w:rsidRDefault="00A8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1B69" w14:textId="77777777" w:rsidR="001616F5" w:rsidRDefault="008656E7">
    <w:pPr>
      <w:pStyle w:val="Cabealho"/>
    </w:pPr>
    <w:r>
      <w:rPr>
        <w:noProof/>
      </w:rPr>
      <w:drawing>
        <wp:anchor distT="0" distB="0" distL="0" distR="0" simplePos="0" relativeHeight="5" behindDoc="1" locked="0" layoutInCell="1" allowOverlap="1" wp14:anchorId="6CA9D3E8" wp14:editId="4A336D6E">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2903"/>
    <w:multiLevelType w:val="hybridMultilevel"/>
    <w:tmpl w:val="152C7C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EC56ECA"/>
    <w:multiLevelType w:val="hybridMultilevel"/>
    <w:tmpl w:val="C458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7A10D0"/>
    <w:multiLevelType w:val="multilevel"/>
    <w:tmpl w:val="7BF4C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2D5107"/>
    <w:multiLevelType w:val="multilevel"/>
    <w:tmpl w:val="952C24C4"/>
    <w:lvl w:ilvl="0">
      <w:start w:val="1"/>
      <w:numFmt w:val="decimal"/>
      <w:lvlText w:val="%1."/>
      <w:lvlJc w:val="left"/>
      <w:pPr>
        <w:ind w:left="720" w:hanging="360"/>
      </w:pPr>
    </w:lvl>
    <w:lvl w:ilvl="1">
      <w:start w:val="1"/>
      <w:numFmt w:val="decimal"/>
      <w:lvlText w:val="%1.%2."/>
      <w:lvlJc w:val="left"/>
      <w:pPr>
        <w:ind w:left="3621"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59695254"/>
    <w:multiLevelType w:val="hybridMultilevel"/>
    <w:tmpl w:val="6D76B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4D592F"/>
    <w:multiLevelType w:val="hybridMultilevel"/>
    <w:tmpl w:val="68586C18"/>
    <w:lvl w:ilvl="0" w:tplc="5474585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79033E23"/>
    <w:multiLevelType w:val="multilevel"/>
    <w:tmpl w:val="2A7A16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5"/>
    <w:rsid w:val="0002261D"/>
    <w:rsid w:val="00076FE4"/>
    <w:rsid w:val="00081974"/>
    <w:rsid w:val="000C54E2"/>
    <w:rsid w:val="000D3E55"/>
    <w:rsid w:val="000F5FD9"/>
    <w:rsid w:val="00146FC1"/>
    <w:rsid w:val="001616F5"/>
    <w:rsid w:val="001677D5"/>
    <w:rsid w:val="00177657"/>
    <w:rsid w:val="002301FF"/>
    <w:rsid w:val="00260C97"/>
    <w:rsid w:val="00282497"/>
    <w:rsid w:val="00297AF4"/>
    <w:rsid w:val="00332B42"/>
    <w:rsid w:val="00342ADF"/>
    <w:rsid w:val="00356087"/>
    <w:rsid w:val="003B1A4D"/>
    <w:rsid w:val="003F1414"/>
    <w:rsid w:val="00411183"/>
    <w:rsid w:val="00421201"/>
    <w:rsid w:val="0046150B"/>
    <w:rsid w:val="004B3818"/>
    <w:rsid w:val="004C0466"/>
    <w:rsid w:val="004D6786"/>
    <w:rsid w:val="004F11E4"/>
    <w:rsid w:val="005027F9"/>
    <w:rsid w:val="00536BB4"/>
    <w:rsid w:val="00570983"/>
    <w:rsid w:val="005908CA"/>
    <w:rsid w:val="00645132"/>
    <w:rsid w:val="00696797"/>
    <w:rsid w:val="006A1FFF"/>
    <w:rsid w:val="006B47CD"/>
    <w:rsid w:val="007056DB"/>
    <w:rsid w:val="00770A31"/>
    <w:rsid w:val="00803270"/>
    <w:rsid w:val="008656E7"/>
    <w:rsid w:val="00880134"/>
    <w:rsid w:val="008833D3"/>
    <w:rsid w:val="00913ADD"/>
    <w:rsid w:val="00974DEC"/>
    <w:rsid w:val="00993D4D"/>
    <w:rsid w:val="009F580A"/>
    <w:rsid w:val="00A15CA7"/>
    <w:rsid w:val="00A75A16"/>
    <w:rsid w:val="00A806AD"/>
    <w:rsid w:val="00AC4D39"/>
    <w:rsid w:val="00AF4728"/>
    <w:rsid w:val="00B10461"/>
    <w:rsid w:val="00B37091"/>
    <w:rsid w:val="00BC0C11"/>
    <w:rsid w:val="00BD43B2"/>
    <w:rsid w:val="00C0474F"/>
    <w:rsid w:val="00C43DB1"/>
    <w:rsid w:val="00C53B95"/>
    <w:rsid w:val="00CA2A8E"/>
    <w:rsid w:val="00CA66DE"/>
    <w:rsid w:val="00D646E9"/>
    <w:rsid w:val="00D70331"/>
    <w:rsid w:val="00D76CAF"/>
    <w:rsid w:val="00D830EE"/>
    <w:rsid w:val="00D84575"/>
    <w:rsid w:val="00E24507"/>
    <w:rsid w:val="00E4692E"/>
    <w:rsid w:val="00EC432A"/>
    <w:rsid w:val="00ED4985"/>
    <w:rsid w:val="00FD4D5D"/>
    <w:rsid w:val="00FE4C4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2BA"/>
  <w15:docId w15:val="{41C919E7-1DB4-4362-A1C2-9195ECB7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D0A3-EC47-472F-8F47-50D5EBF0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4</Pages>
  <Words>1347</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dc:description/>
  <cp:lastModifiedBy>Exercicio Profissional - CAU/MG</cp:lastModifiedBy>
  <cp:revision>102</cp:revision>
  <cp:lastPrinted>2017-05-11T17:11:00Z</cp:lastPrinted>
  <dcterms:created xsi:type="dcterms:W3CDTF">2019-10-15T16:40:00Z</dcterms:created>
  <dcterms:modified xsi:type="dcterms:W3CDTF">2020-09-25T21:25:00Z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