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CB28AA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655E56" w:rsidRPr="00CB28A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 w:rsidP="00655E56">
            <w:p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17</w:t>
            </w:r>
            <w:r w:rsidR="00655E56"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655E56" w:rsidRPr="00CB28A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CB28AA" w:rsidRDefault="00CB51B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CB28AA" w:rsidRDefault="00355750" w:rsidP="00655E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55E56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655E56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outubro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2020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09h30min às 17h00min</w:t>
            </w:r>
          </w:p>
        </w:tc>
      </w:tr>
      <w:tr w:rsidR="00655E56" w:rsidRPr="00CB28A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1B7" w:rsidRPr="00CB28AA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Adjunta da CED-CAU/MG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:rsidR="00CB51B7" w:rsidRPr="00CB28A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CB51B7" w:rsidRPr="00CB28AA" w:rsidRDefault="00CB0E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</w:t>
            </w:r>
          </w:p>
        </w:tc>
        <w:tc>
          <w:tcPr>
            <w:tcW w:w="4395" w:type="dxa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da CED-CAU/MG</w:t>
            </w:r>
          </w:p>
        </w:tc>
      </w:tr>
      <w:tr w:rsidR="00655E56" w:rsidRPr="00CB28A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 – Arquiteto Analista GERTEF-CAU/MG</w:t>
            </w:r>
          </w:p>
        </w:tc>
      </w:tr>
      <w:tr w:rsidR="00655E56" w:rsidRPr="00CB28A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CB28AA" w:rsidRDefault="00CB51B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CB28AA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vAlign w:val="center"/>
          </w:tcPr>
          <w:p w:rsidR="00494E74" w:rsidRPr="00CB28AA" w:rsidRDefault="00355750" w:rsidP="00494E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 – Incidência de processos ético-disciplinares com fato gerador ausência de placa de obra informando o Responsável Técnico. </w:t>
            </w: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– Retorno da CED/BR informando sobre as contribuições sobre as alterações da Resolução CAU/BR n° 143 (e-mail recebido em 01/10/2020).  </w:t>
            </w: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– Análise da manifestação encaminhada por e-mail pela Gerente Técnica e de Fiscalização no dia 13/10/2020.</w:t>
            </w: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– Retorno de contagem dos prazos dos processo ético-disciplinares a partir do dia 19/10/2020.</w:t>
            </w:r>
          </w:p>
          <w:p w:rsidR="00494E74" w:rsidRPr="00CB28AA" w:rsidRDefault="00494E74" w:rsidP="00494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CB28AA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Discussões no âmbito da Comissão de Ética e disciplina do CAU/MG;</w:t>
            </w:r>
          </w:p>
          <w:p w:rsidR="005877DC" w:rsidRPr="00CB28AA" w:rsidRDefault="005877DC" w:rsidP="0058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Plano de Ação do CAU/MG. 3.1 Acompanhamento das ações da CED/MG e elaboração de resposta ao MEMORANDO Nº 03/2020 da GEPLAN-CAU/MG (protocolo n° 1180879/2020).</w:t>
            </w:r>
          </w:p>
          <w:p w:rsidR="00494E74" w:rsidRPr="00CB28AA" w:rsidRDefault="00494E74" w:rsidP="00494E74">
            <w:pPr>
              <w:ind w:left="1701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:rsidR="00494E74" w:rsidRPr="00CB28AA" w:rsidRDefault="00494E74" w:rsidP="00494E74">
            <w:pPr>
              <w:shd w:val="clear" w:color="auto" w:fill="FFFFFF"/>
              <w:ind w:left="17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3.1.1 - AÇÃO: 1.7.3 – ELABORAR MATERIAL SOBRE ÉTICA PARA ESTUDANTES DE ARQUITETURA E URBANISMO. </w:t>
            </w:r>
          </w:p>
          <w:p w:rsidR="00494E74" w:rsidRPr="00CB28AA" w:rsidRDefault="00494E74" w:rsidP="00494E74">
            <w:pPr>
              <w:pStyle w:val="Ttulo3"/>
              <w:ind w:left="1701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Toc35242403"/>
            <w:bookmarkStart w:id="1" w:name="_Toc35534986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3.1.2 - AÇÃO: 2.1.3 – ELABORAR PROPOSTA DE CAMPANHA DE ÉTICA PROFISSIONAL</w:t>
            </w:r>
            <w:bookmarkEnd w:id="0"/>
            <w:bookmarkEnd w:id="1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 CED/MG.</w:t>
            </w:r>
          </w:p>
          <w:p w:rsidR="00494E74" w:rsidRPr="00CB28AA" w:rsidRDefault="00494E74" w:rsidP="00494E74">
            <w:pPr>
              <w:pStyle w:val="Ttulo3"/>
              <w:ind w:left="1701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Toc35242628"/>
            <w:bookmarkStart w:id="3" w:name="_Toc35535002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3.1.3 - AÇÃO: 3.1.5 – ELABORAR PROPOSTA DE SEMINÁRIO REGIONAL SOBRE ÉTICA PROFISSIONAL</w:t>
            </w:r>
            <w:bookmarkEnd w:id="2"/>
            <w:bookmarkEnd w:id="3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94E74" w:rsidRPr="00CB28AA" w:rsidRDefault="00494E74" w:rsidP="00494E74">
            <w:pPr>
              <w:pStyle w:val="Ttulo3"/>
              <w:ind w:left="1701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Toc35242887"/>
            <w:bookmarkStart w:id="5" w:name="_Toc35535025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3.1.4 - AÇÃO: 5.1.2 – ELABORAR PROPOSTA DE CÂMARA DE MEDIAÇÃO E CONCILIAÇÃO (CMC)</w:t>
            </w:r>
            <w:bookmarkEnd w:id="4"/>
            <w:bookmarkEnd w:id="5"/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94E74" w:rsidRPr="00CB28AA" w:rsidRDefault="00494E74" w:rsidP="0049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74" w:rsidRPr="00CB28AA" w:rsidRDefault="00494E74" w:rsidP="00494E74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Sugerir à GEPLAN meta para o novo indicator que será adicionado ao plano de ação do CAU no ano de 2021: eficiência no trâmite de processos éticos-disciplinares (e-mail recebido em 08/10/2020).</w:t>
            </w:r>
          </w:p>
          <w:p w:rsidR="00CB51B7" w:rsidRPr="00CB28AA" w:rsidRDefault="00CB51B7" w:rsidP="005877DC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494E74" w:rsidRPr="00CB28AA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Processos em tramitação na CED-CAU/MG e nomeação de novos Conselheiros Relatores;</w:t>
            </w:r>
          </w:p>
          <w:p w:rsidR="005877DC" w:rsidRPr="00CB28AA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 [PROT. Nº 1078586-2020]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4.2 [PROT. Nº 1078588-2020]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4.3 [PROT. Nº 1078592-2020]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4.4 [PROT. Nº 1183623-2020]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(Relator: A nomear.)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4.5 [PROT. Nº 1183625-2020]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</w:p>
          <w:p w:rsidR="00494E74" w:rsidRPr="00CB28AA" w:rsidRDefault="00494E74" w:rsidP="00494E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4.6 [PROT. Nº 994296-2019]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Marília Palhares Machado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4.7 [PROT. Nº 1001991-2019]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(Relator: Marília Palhares Machado.)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4.8 [PROT. Nº 957357-2019]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(Relator: Cecília Maria Rabelo Geraldo.)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4.9 [PROT. Nº 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1067649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Marília Palhares Machado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Processos não pautados e relacionados apenas para controle: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1127336/2020]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Marília Palhares Machado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[PROT. Nº 1108636-2020]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(Relator: Cláudio de Melo Rocha.)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1108639-2020]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Cláudio de Melo Rocha.)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1067649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Marília Palhares Machado.)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[PROT. Nº 810817-2019]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(Relator: Claudio de Melo Rocha.)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1048544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Cecília Maria rabelo Geraldo.)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1025558-2019]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Cláudio de Melo Rocha.) </w:t>
            </w:r>
          </w:p>
          <w:p w:rsidR="00494E74" w:rsidRPr="00CB28AA" w:rsidRDefault="00494E74" w:rsidP="00494E7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1029464-2019]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Cláudio de Melo Rocha.)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[PROT. Nº 1002010-2019]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(Relator: Marília Palhares Machado.)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1048548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Cecília Maria rabelo Geraldo.)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940043-2019]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(Relator: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Cecília Maria Rabelo Geraldo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494E74" w:rsidRPr="00CB28AA" w:rsidRDefault="00494E74" w:rsidP="00494E74">
            <w:pPr>
              <w:rPr>
                <w:rFonts w:ascii="Times New Roman" w:hAnsi="Times New Roman" w:cs="Times New Roman"/>
                <w:bCs/>
                <w:color w:val="A6A6A6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[PROT. Nº 882750-2019]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(Relator: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Cecília Maria Rabelo Geraldo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bCs/>
                <w:color w:val="A6A6A6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1025529-2019]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(Relator: Marília Palhares Machado.)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4E74" w:rsidRPr="00CB28AA" w:rsidRDefault="00494E74" w:rsidP="00494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1059587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(Relator: Cecília Maria Rabelo Geraldo.) </w:t>
            </w:r>
          </w:p>
          <w:p w:rsidR="00494E74" w:rsidRPr="00CB28AA" w:rsidRDefault="00494E74" w:rsidP="00494E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Nº 1115816-2020]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(Relator: 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Cecília Maria Rabelo Geraldo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CB51B7" w:rsidRPr="00CB28AA" w:rsidRDefault="00CB51B7" w:rsidP="000C111D">
            <w:pPr>
              <w:widowControl w:val="0"/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CB28AA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Encerramento:</w:t>
            </w:r>
          </w:p>
        </w:tc>
      </w:tr>
      <w:tr w:rsidR="00655E56" w:rsidRPr="00CB28A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1B7" w:rsidRPr="00CB28AA" w:rsidRDefault="00CB51B7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377CA" w:rsidRPr="00CB28AA" w:rsidRDefault="003377C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655E56" w:rsidRPr="00CB28A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:rsidR="00CB51B7" w:rsidRPr="00CB28AA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55E56" w:rsidRPr="00CB28AA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55E56" w:rsidRPr="00CB28A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CB28AA" w:rsidRDefault="00355750" w:rsidP="00CB0E3E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Foram apregoados os membros desta Comissão às 09h</w:t>
            </w:r>
            <w:r w:rsidR="00B243D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 e foi verificado o quórum com a presença da Conselheira Cecília Maria Rabelo Geraldo e da Conselheira Marília Palhares Machado, d</w:t>
            </w:r>
            <w:r w:rsidR="00CB0E3E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0E3E" w:rsidRPr="00CB28A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</w:t>
            </w:r>
            <w:r w:rsidR="00CB0E3E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do Assessor Diogo Braga. </w:t>
            </w:r>
          </w:p>
        </w:tc>
      </w:tr>
    </w:tbl>
    <w:p w:rsidR="00CB51B7" w:rsidRPr="00CB28A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55E56" w:rsidRPr="00CB28A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655E56" w:rsidRPr="00CB28AA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2.1 – Incidência de processos ético-disciplinares com fato gerador ausência de placa de obra informando o Responsável Técnico. </w:t>
            </w:r>
          </w:p>
          <w:p w:rsidR="005B14F3" w:rsidRPr="00CB28AA" w:rsidRDefault="005B14F3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74B5" w:rsidRPr="00CB28AA" w:rsidRDefault="005B14F3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CED/MG decidiu por elaborar uma deliberação regulando a atuação da fiscalização quando na identificação de ausência de placa em obra com Responsável Técnico Arquiteto e Urbanista. Solicitou ao assessor Diogo Braga que elabore a minuta com os seguintes critérios do procedimento: a) Orientar a fiscalização que, nestes casos, intime </w:t>
            </w:r>
            <w:r w:rsidR="00DB2095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previamente (ainda no âmbito da fiscalização, antes de tramitar o caso à CED/MG)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Responsável Técnico a proceder com a elaboração de identificação de RT de obra e projeto em um prazo de 10 dias corridos. </w:t>
            </w:r>
            <w:r w:rsidR="00DB2095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2095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Intime o RT a enviar à Fiscalização comprovante de que regularizou a situação inserindo as informações exigidas por lei e enviando foto recente das informações apensadas na fachada da obra. Exigir do RT, juntamente da foto, uma declaração assinada por este que declare a veracidade da fotografia, sob as penas da lei e de agravamento da pena no caso de eventual condenação em processo ético-disciplinar. c) Permitir ao responsável pela constataçã</w:t>
            </w:r>
            <w:r w:rsidR="00EA0A7B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do fato, dilatar o prazo para a inclusão das informações na obra, por no máximo mais 10 dias, caso o processo ainda não tenha sido tramitado para a CEP/MG ou CED/MG, conforme o caso. d) Permitir ao fiscal responsável contatar, inclusive por e-mail ou telefone, o RT após findo o prazo de 10 dias para a inclusão das informações na obra, caso o mesmo ainda não tenha se manifestado, com o objetivo de sanear as irregularidades.  </w:t>
            </w:r>
          </w:p>
          <w:p w:rsidR="00EA0A7B" w:rsidRPr="00CB28AA" w:rsidRDefault="00EA0A7B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0A7B" w:rsidRPr="00CB28AA" w:rsidRDefault="00EA0A7B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CED/MG solicitou ao assessor que contate a Gerente Técnica e de Fiscalização para contribuir sobre a forma desta deliberação.  </w:t>
            </w:r>
          </w:p>
          <w:p w:rsidR="00EA0A7B" w:rsidRPr="00CB28AA" w:rsidRDefault="00EA0A7B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2.2 – </w:t>
            </w:r>
            <w:r w:rsidR="00F51E6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Assessor informou que obteve r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etorno da CED/BR informando sobre as contribuições sobre as alterações da Resolução CAU/BR n° 143 (e-mail recebido </w:t>
            </w:r>
            <w:r w:rsidR="00F51E6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encaminhado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 01/10/2020).  </w:t>
            </w:r>
          </w:p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 – Análise da manifestação encaminhada por e-mail pela Gerente Técnica e de Fiscalização no dia 13/10/2020.</w:t>
            </w:r>
          </w:p>
          <w:p w:rsidR="00AA3F5C" w:rsidRPr="00CB28AA" w:rsidRDefault="00AA3F5C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3F5C" w:rsidRPr="00CB28AA" w:rsidRDefault="00AA3F5C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CED/MG manifestou-se por orientar encaminhar a seguinte resposta para este caso:</w:t>
            </w:r>
          </w:p>
          <w:p w:rsidR="000C74B5" w:rsidRPr="00CB28AA" w:rsidRDefault="00AA3F5C" w:rsidP="00AA3F5C">
            <w:pPr>
              <w:pStyle w:val="Ttulo3"/>
              <w:shd w:val="clear" w:color="auto" w:fill="FFFFFF"/>
              <w:spacing w:before="264" w:after="264" w:line="264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há vedação expressa no código de ética ou na lei 12.378 que verse sobre a atuação do arquiteto e urbanista pela internet. Ademais, há no site orientações sobre o TERMOS DE USO para o adquirente do projeto que indica a necessidade de contratação de “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responsável técnico, para fazer possíveis alterações/adaptações de projeto, para assessorar no processo de aprovação legal junto aos órgãos competentes e para fazer o acompanhamento da execução da obra ou serviço técnico relacionado”.</w:t>
            </w:r>
          </w:p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 – Retorno de contagem dos prazos dos processo</w:t>
            </w:r>
            <w:r w:rsidR="004F6548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ético-disciplinares a partir do dia 19/10/2020.</w:t>
            </w:r>
          </w:p>
          <w:p w:rsidR="00A465DE" w:rsidRPr="00CB28AA" w:rsidRDefault="00A465DE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F51E60" w:rsidRPr="00CB28AA" w:rsidRDefault="00F51E60" w:rsidP="00F51E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Conforme a DELIBERAÇÃO PLENÁRIA DPEBR Nº 0007-06/2020 e seguintes os prazos de todos os processo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ético-disciplinares ret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 a 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contagem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prazo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partir do dia 19/10/2020. 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CED/MG decidiu tomar a seguinte providência: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a) Enviar novamente todas as intimações e ofícios elaborados pela CED/MG, por correspondência física e e-mail, para os destinatários que não confirmaram a ciência do ofício ou intimação</w:t>
            </w:r>
            <w:r w:rsidR="004F6548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 enviados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Nestes casos o prazo processual somente iniciará contagem a partir da ciência do mesmo e uma nova numeração de intimação/ofício deverá ser inserida. b) Enviar novamente por e-mail todas as intimações e ofícios elaborados pela CED/MG que obtiveram a ciência comprovada do destinatário. Nestes casos o prazo processual iniciará contagem a partir do dia 19/10/2020.  </w:t>
            </w:r>
          </w:p>
          <w:p w:rsidR="00F51E60" w:rsidRPr="00CB28AA" w:rsidRDefault="00F51E60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4F6548" w:rsidRPr="00CB28AA" w:rsidRDefault="004F6548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conselheira coordenadora informou que a retomada dos prazos processuais está ocorrendo no âmbito do CAU/MG e que o CAU/BR será informado disto.  </w:t>
            </w:r>
          </w:p>
          <w:p w:rsidR="004F6548" w:rsidRPr="00CB28AA" w:rsidRDefault="004F6548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548" w:rsidRPr="00CB28AA" w:rsidRDefault="004F6548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Considerando o retorno da contagem dos prazos dos processos de ética e disciplina do CAU/MG</w:t>
            </w:r>
            <w:r w:rsidR="009D6A7A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considerando a necessidade de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6A7A"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 os devidos encaminhamentos nas demandas represadas no período de suspensão destes prazos por conta da DELIBERAÇÃO PLENÁRIA DPEBR Nº 0007-06/2020 e seguintes, a CED/MG solicita autorização para realização de uma reunião extraordinária no dia 18/11/2020. </w:t>
            </w:r>
          </w:p>
          <w:p w:rsidR="00C07AE9" w:rsidRPr="00CB28AA" w:rsidRDefault="00C07AE9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7AE9" w:rsidRPr="00CB28AA" w:rsidRDefault="00C07AE9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 O Assessor Diogo Braga informou que ainda não conseguiu fazer a edição da entrevista realizada pela CED/MG com a filósofa Maria de Lourdes para o podcast ArqUrb em pauta. Que a entrevista desviou-se dos moldes propostos inicialmente e que, por isto, o tempo para a edição do material se tornou muito maior do que o previsto. Informou que o fará quando puder. </w:t>
            </w:r>
          </w:p>
          <w:p w:rsidR="00A465DE" w:rsidRPr="00CB28AA" w:rsidRDefault="00A465DE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B51B7" w:rsidRPr="00CB28AA" w:rsidRDefault="00355750" w:rsidP="00A465D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55E56" w:rsidRPr="00CB28A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CB28AA" w:rsidRDefault="00355750" w:rsidP="000C74B5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Plano de Ação d</w:t>
            </w:r>
            <w:r w:rsidR="00B176B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CAU/MG. Acompanhamento das ações da CED/MG.</w:t>
            </w:r>
          </w:p>
        </w:tc>
      </w:tr>
      <w:tr w:rsidR="00655E56" w:rsidRPr="00CB28A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eading=h.gjdgxs" w:colFirst="0" w:colLast="0"/>
            <w:bookmarkEnd w:id="6"/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 Acompanhamento das ações da CED/MG e elaboração de resposta ao MEMORANDO Nº 03/2020 da GEPLAN-CAU/MG (protocolo n° 1180879/2020).</w:t>
            </w:r>
          </w:p>
          <w:p w:rsidR="000C74B5" w:rsidRPr="00CB28AA" w:rsidRDefault="000C74B5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74B5" w:rsidRPr="00CB28AA" w:rsidRDefault="00B11979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CED/MG emitiu a deliberação n° Deliberação CED-CAU-MG n°28/2020 com as seguintes atualizações:</w:t>
            </w:r>
          </w:p>
          <w:p w:rsidR="00B11979" w:rsidRPr="00CB28AA" w:rsidRDefault="00B11979" w:rsidP="00B1197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AÇÃO: 1.2.1.1 – ELENCAR PROJETOS DE LEI ESTADUAIS PARA A ATUAÇÃO DO CAU/MG. Considerando que a CED/MG manifestou não ter identificado, dentre os Projetos de lei encaminhados a ela, projeto de lei ou norma com grande substância que justifique análise sob ponto de vista da ética aplicada à arquitetura e urbanismo, a CED/MG sugere incluir o status de ação concluída. </w:t>
            </w:r>
            <w:bookmarkStart w:id="7" w:name="_Toc35242335"/>
            <w:bookmarkStart w:id="8" w:name="_Toc35534979"/>
          </w:p>
          <w:p w:rsidR="00B11979" w:rsidRPr="00CB28AA" w:rsidRDefault="00B11979" w:rsidP="00B1197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AÇÃO: 1.7.3b – ELABORAR MATERIAL SOBRE ÉTICA PARA ESTUDANTES DE ARQUITETURA E URBANISMO</w:t>
            </w:r>
            <w:bookmarkEnd w:id="7"/>
            <w:bookmarkEnd w:id="8"/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B28A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Como a ação foi pensada em colaboração da CEF/MG que não encaminhou diretrizes para a elaboração deste material e que não houve a iniciação desta ação, a CED/MG propõe o cancelamento da ação. A CED/MG sugere a inclusão da ação no próximo plano de ação do CAU/MG.</w:t>
            </w:r>
          </w:p>
          <w:p w:rsidR="00B11979" w:rsidRPr="00CB28AA" w:rsidRDefault="00B11979" w:rsidP="00B1197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AÇÃO: 2.1.3 – ELABORAR PROPOSTA DE CAMPANHA DE ÉTICA PROFISSIONAL. A CED/MG informa, conforme já constante na minuta da revisão do Plano de Ação, que a ação foi concluída.  A CED/MG sugere inclusão de ações de implementação da referida campanha no próximo plano de ação do CAU/MG, devendo a próxima gestão avaliar o alcance do material divulgado nesta ação. </w:t>
            </w:r>
          </w:p>
          <w:p w:rsidR="00B11979" w:rsidRPr="00CB28AA" w:rsidRDefault="00B11979" w:rsidP="00B11979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AÇÃO: 3.1.5 – ELABORAR PROPOSTA DE SEMINÁRIO REGIONAL SOBRE ÉTICA PROFISSIONAL. A CED/MG informa que a ação foi cancelada, tendo em vista a ação se daria em conjunto e apoio da CED-CAU/BR, que suspendeu todos os Seminários Regionais em função da Pandemia COVID-19.</w:t>
            </w:r>
          </w:p>
          <w:p w:rsidR="00B11979" w:rsidRPr="00CB28AA" w:rsidRDefault="00B11979" w:rsidP="00B11979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AÇÃO: 5.1.2 – ELABORAR PROPOSTA DE CÂMARA DE MEDIAÇÃO E CONCILIAÇÃO (CMC). A CED/MG informa que a ação foi concluída, posto que trata-se de elaboração de proposta e esta foi realizada e encaminhada pelo protocolo n° 1088287/2020. Encontra-se no momento em análise pela CED-CAU/BR. A CED/MG sugere o acompanhamento da ação no próximo plano de ação do CAU/MG visando, caso manifestação neste sentido do CAU/BR, a implantação da Câmara de Mediação.</w:t>
            </w:r>
          </w:p>
          <w:p w:rsidR="00B11979" w:rsidRPr="00CB28AA" w:rsidRDefault="00B11979" w:rsidP="00B11979">
            <w:pPr>
              <w:pStyle w:val="PargrafodaLista"/>
              <w:spacing w:after="200" w:line="276" w:lineRule="auto"/>
              <w:ind w:left="108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C74B5" w:rsidRPr="00CB28AA" w:rsidRDefault="000C74B5" w:rsidP="00C07AE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Sugerir à GEPLAN meta para o novo </w:t>
            </w:r>
            <w:r w:rsidR="00B243D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indicador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será adicionado ao plano de ação do CAU no ano de 2021: eficiência no trâmite de processos éticos-disciplinares (e-mail recebido em 08/10/2020).</w:t>
            </w:r>
          </w:p>
          <w:p w:rsidR="00C07AE9" w:rsidRPr="00CB28AA" w:rsidRDefault="00C07AE9" w:rsidP="00B11979">
            <w:pPr>
              <w:pStyle w:val="PargrafodaLista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7AE9" w:rsidRPr="00CB28AA" w:rsidRDefault="00C07AE9" w:rsidP="00C07AE9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Vimos por este informar que a medição realizada pela CED/MG em seus relatórios anuais consiste no tempo de tramitação do processo ético-disciplinar na CED/MG, não sendo levantado o tempo de tramitação dos processos quando tramitados para o plenário do CAU/MG ou para o plenário do CAU/BR. Isto ocorre pela configuração dos trabalhos e sistema de tramitação dos processos no âmbito do CAU/MG, posto que quando o processo é encaminhado pela CED/MG, este deixa de ser sua atribuição e a assessoria da CED/MG deixa de ter acesso a suas informações, retornando a ter contato com o mesmo somente quando transitado em julgado para atualização do módulo ético no siccau. </w:t>
            </w:r>
          </w:p>
          <w:p w:rsidR="00C07AE9" w:rsidRPr="00CB28AA" w:rsidRDefault="00C07AE9" w:rsidP="00C07AE9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7AE9" w:rsidRPr="00CB28AA" w:rsidRDefault="00C07AE9" w:rsidP="00C07AE9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 posto, cabe indagar como este indicador deverá ser medido, se considerando o tempo de tramitação do processo somente na CED/MG ou em t</w:t>
            </w:r>
            <w:r w:rsidR="00B11979"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 seu percurso, se considerando como data de início a protocolização da denúncia ou a data de admissão da denúncia pela CED/UF. </w:t>
            </w:r>
          </w:p>
          <w:p w:rsidR="00C07AE9" w:rsidRPr="00CB28AA" w:rsidRDefault="00C07AE9" w:rsidP="00C07AE9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7AE9" w:rsidRPr="00CB28AA" w:rsidRDefault="00C07AE9" w:rsidP="00202D93">
            <w:pPr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entanto, como nos foi solicitada uma sugestão do novo indicador “eficiência no trâmite de processos éticos-disciplinares”, sugerimos que este seja dividido em dois e medido de duas formas: a) “eficiência no trâmite de processos éticos-disciplinares na CED/UF” e b) “eficiência no trâmite completo de processos éticos-disciplinares”. O primeiro indicador seria medido no m</w:t>
            </w:r>
            <w:r w:rsidR="00202D93"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mento de saída do processo da CED/UF e o segundo após o trânsito em julgado dos processos. Para o primeiro indicamos o valor do denominador “tempo máximo para conclusão de processo” como 2 anos e o valor do indicador de 60% ou 0,60. Para o segundo indicamos o valor do denominador “tempo máximo para conclusão de processo” como 3 anos e o valor do i</w:t>
            </w:r>
            <w:r w:rsidR="00202D93"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ndicador também de 60% ou 0,60.</w:t>
            </w:r>
          </w:p>
          <w:p w:rsidR="00CB51B7" w:rsidRPr="00CB28AA" w:rsidRDefault="00CB51B7" w:rsidP="006F7D5D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202D93" w:rsidRPr="00CB28AA" w:rsidRDefault="00202D93" w:rsidP="00202D93">
            <w:pPr>
              <w:ind w:left="973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 o incide “eficiência na conclusão de processos éticos”, sugerimos uma previsão de 60% para 2021.</w:t>
            </w:r>
          </w:p>
        </w:tc>
      </w:tr>
    </w:tbl>
    <w:p w:rsidR="00CB51B7" w:rsidRPr="00CB28AA" w:rsidRDefault="00CB51B7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1374E7" w:rsidRPr="00CB28AA" w:rsidRDefault="000C74B5" w:rsidP="00202D93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28AA">
        <w:rPr>
          <w:rFonts w:ascii="Times New Roman" w:hAnsi="Times New Roman" w:cs="Times New Roman"/>
          <w:b/>
          <w:color w:val="000000"/>
          <w:sz w:val="20"/>
          <w:szCs w:val="20"/>
        </w:rPr>
        <w:t>Processos em tramitação na CED-CAU/MG e nomeação de novos Conselheiros Relatores;</w:t>
      </w:r>
    </w:p>
    <w:p w:rsidR="001374E7" w:rsidRPr="00CB28AA" w:rsidRDefault="001374E7" w:rsidP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374E7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 [PROT. Nº 1078586-2020]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4E7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74E7" w:rsidRPr="00CB28AA" w:rsidRDefault="001374E7" w:rsidP="001374E7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1374E7" w:rsidRPr="00CB28AA" w:rsidRDefault="001374E7" w:rsidP="001374E7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 Coordenadora da Comissão de Ética e Disciplina, Cecília Maria Rabelo Geraldo, no uso de suas atribuições, através de sorteio, nomeia </w:t>
            </w:r>
            <w:r w:rsidR="008B4A3F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4A3F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 análise e parecer do processo a este protocolo vinculado.</w:t>
            </w:r>
          </w:p>
          <w:p w:rsidR="001374E7" w:rsidRPr="00CB28AA" w:rsidRDefault="001374E7" w:rsidP="001374E7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4A3F" w:rsidRPr="00CB28AA" w:rsidRDefault="008B4A3F" w:rsidP="001374E7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a intimação do denunciado a apresentar sua defesa prévia. </w:t>
            </w:r>
          </w:p>
          <w:p w:rsidR="001374E7" w:rsidRPr="00CB28AA" w:rsidRDefault="001374E7" w:rsidP="001374E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74E7" w:rsidRPr="00CB28AA" w:rsidRDefault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1374E7" w:rsidRPr="00CB28AA" w:rsidRDefault="001374E7" w:rsidP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374E7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1374E7" w:rsidRPr="00CB28AA" w:rsidRDefault="001374E7" w:rsidP="001374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4.2 [PROT. Nº 1078588-2020]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4E7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8B4A3F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Comissão de Ética e Disciplina, Cecília Maria Rabelo Geraldo, no uso de suas atribuições, através de sorteio, nomeia a Conselheira Cecília Maria Rabelo Geraldo para análise e parecer do processo a este protocolo vinculado.</w:t>
            </w:r>
          </w:p>
          <w:p w:rsidR="008B4A3F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74E7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a intimação do denunciado a apresentar sua defesa prévia. </w:t>
            </w:r>
          </w:p>
        </w:tc>
      </w:tr>
    </w:tbl>
    <w:p w:rsidR="001374E7" w:rsidRPr="00CB28AA" w:rsidRDefault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1374E7" w:rsidRPr="00CB28AA" w:rsidRDefault="001374E7" w:rsidP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374E7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1374E7" w:rsidRPr="00CB28AA" w:rsidRDefault="001374E7" w:rsidP="001374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4.3 [PROT. Nº 1078592-2020]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4E7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8B4A3F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Comissão d</w:t>
            </w:r>
            <w:bookmarkStart w:id="9" w:name="_GoBack"/>
            <w:bookmarkEnd w:id="9"/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Ética e Disciplina, Cecília Maria Rabelo Geraldo, no uso de suas atribuições, através de sorteio, nomeia a Conselheira Cecília Maria Rabelo Geraldo para análise e parecer do processo a este protocolo vinculado.</w:t>
            </w:r>
          </w:p>
          <w:p w:rsidR="008B4A3F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74E7" w:rsidRPr="00CB28AA" w:rsidRDefault="008B4A3F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a intimação do denunciado a apresentar sua defesa prévia. </w:t>
            </w:r>
          </w:p>
        </w:tc>
      </w:tr>
    </w:tbl>
    <w:p w:rsidR="001374E7" w:rsidRPr="00CB28AA" w:rsidRDefault="001374E7" w:rsidP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374E7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1374E7" w:rsidRPr="00CB28AA" w:rsidRDefault="001374E7" w:rsidP="001374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4.4 [PROT. Nº </w:t>
            </w:r>
            <w:r w:rsidR="004B2916" w:rsidRPr="004B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1183623-2020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4E7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74E7" w:rsidRPr="00CB28AA" w:rsidRDefault="001374E7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Comissão de Ética e Disciplina, Cecília Maria Rabelo Geraldo, no uso de suas atribuições, através d</w:t>
            </w:r>
            <w:r w:rsidR="00110887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sorteio, nomeia o Conselheira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0887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="008A3D9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 análise e parecer do processo a este protocolo vinculado.</w:t>
            </w:r>
          </w:p>
          <w:p w:rsidR="001374E7" w:rsidRPr="00CB28AA" w:rsidRDefault="001374E7" w:rsidP="008B4A3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74E7" w:rsidRPr="00CB28AA" w:rsidRDefault="008A3D90" w:rsidP="008A3D9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Conselheiro Relator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solicitou que 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denunciad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seja comunicad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existência da denúncia e que seja intimad</w:t>
            </w: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74E7"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apresentar defesa prévia em um prazo de 10 dias. </w:t>
            </w:r>
          </w:p>
        </w:tc>
      </w:tr>
    </w:tbl>
    <w:p w:rsidR="001374E7" w:rsidRPr="00CB28AA" w:rsidRDefault="001374E7" w:rsidP="001374E7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374E7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1374E7" w:rsidRPr="00CB28AA" w:rsidRDefault="001374E7" w:rsidP="001374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4.5 [PROT. Nº 1183625-2020] </w:t>
            </w:r>
            <w:r w:rsidRPr="00CB2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(Relator: A nomear.)</w:t>
            </w:r>
            <w:r w:rsidRPr="00CB2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4E7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74E7" w:rsidRPr="00CB28AA" w:rsidRDefault="001374E7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3D90" w:rsidRPr="00CB28AA" w:rsidRDefault="008A3D90" w:rsidP="008A3D90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Comissão de Ética e Disciplina, Cecília Maria Rabelo Geraldo, no uso de suas atribuições, através de sorteio, nomeia o Conselheira Marília Palhares Machado, para análise e parecer do processo a este protocolo vinculado.</w:t>
            </w:r>
          </w:p>
          <w:p w:rsidR="008A3D90" w:rsidRPr="00CB28AA" w:rsidRDefault="008A3D90" w:rsidP="008A3D90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74E7" w:rsidRPr="00CB28AA" w:rsidRDefault="008A3D90" w:rsidP="008A3D9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Conselheiro Relatora solicitou que a denunciada seja comunicada da existência da denúncia e que seja intimada a apresentar defesa prévia em um prazo de 10 dias.</w:t>
            </w:r>
          </w:p>
        </w:tc>
      </w:tr>
    </w:tbl>
    <w:p w:rsidR="000D7282" w:rsidRPr="00CB28AA" w:rsidRDefault="000D7282" w:rsidP="000D728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D7282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0D7282" w:rsidRPr="00CB28AA" w:rsidRDefault="000D7282" w:rsidP="008B4A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994296-2019]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Marília Palhares Machado.) </w:t>
            </w:r>
          </w:p>
        </w:tc>
      </w:tr>
      <w:tr w:rsidR="000D7282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43D1" w:rsidRPr="00CB28AA" w:rsidRDefault="00B243D1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Após análise, a Relatora emitiu o seguinte despacho: </w:t>
            </w:r>
          </w:p>
          <w:p w:rsidR="00B243D1" w:rsidRPr="00CB28AA" w:rsidRDefault="00B243D1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7AE" w:rsidRPr="00CB28AA" w:rsidRDefault="008827AE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Tendo em vista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que a denúncia ético-disciplinar foi tramitada à CED/MG capitulada com o inciso 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XII do artigo 18 da Lei 12.378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“XII - não efetuar Registro de Responsabilidade Técnica quando for obrigatório”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onsiderando que o denunciado, de fato, emitiu os RRTs, muito embora tenha o feito de forma errada, emitindo-os como RRT mínimo quando deveriam ser RRTs simples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princípio a CED/MG inclina-se a </w:t>
            </w:r>
            <w:r w:rsidR="00857428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não identificar infração 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ético-disciplinar.</w:t>
            </w:r>
            <w:r w:rsidR="00857428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827AE" w:rsidRPr="00CB28AA" w:rsidRDefault="008827AE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C91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01 - </w:t>
            </w:r>
            <w:r w:rsidR="00B243D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 à Assessoria Jurídica da CED/MG manifestação sobre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atribuição de condução do caso, considerando a Nota Jurídica n°13/AJ-CAM/2015 do CAU/BR, visto que a CEP ainda não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empreendeu nenhuma tentativa de notificação do denunciado para a correç</w:t>
            </w:r>
            <w:r w:rsidR="00331C9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ão dos RRTs e que a emissão de RRT foi realizada, mas que, de forma equivocada e que o entendimento da CED/MG tende para a não subsunção do fato à regra do inciso XII do artigo 18 da Lei 12.378 “XII - não efetuar Registro de Responsabilidade Técnica quando for obrigatório”. </w:t>
            </w:r>
          </w:p>
          <w:p w:rsidR="00857428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7428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02 – Solicito também sobre a possibilidade de emissão de um Termo de Ajustamento de Conduta (TAC) pelo CAU e se tanto a CED/MG e a CEP/MG poderiam fazê-lo, tendo em vista que não há previsão de elaboração de TAC nos normativos do CAU/MG. </w:t>
            </w:r>
          </w:p>
          <w:p w:rsidR="00857428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3D1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03 - </w:t>
            </w:r>
            <w:r w:rsidR="00B243D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Solicito também, caso possível, </w:t>
            </w:r>
            <w:r w:rsidR="00D678D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orientar sobre os procedimentos necessários para que este TAC seja</w:t>
            </w:r>
            <w:r w:rsidR="00B243D1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firmado. </w:t>
            </w:r>
          </w:p>
          <w:p w:rsidR="00857428" w:rsidRPr="00CB28AA" w:rsidRDefault="00857428" w:rsidP="00B243D1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0D7282" w:rsidRPr="00CB28AA" w:rsidRDefault="00B243D1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CED/MG acredita que este seja um caso para firmar um TAC, posto que: a) O profissional denunciado alega em sua defesa prévia (fls. </w:t>
            </w:r>
            <w:r w:rsidR="00D678D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238 e 239)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não ter sido devidamente orientado em contato com o CAU/MG em 2018 sobre as normas de emissão do RRT m</w:t>
            </w:r>
            <w:r w:rsidR="00D678D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ínimo;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b) A informação prestada pela CEP/MG demonstra a dificuldade de correç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ão da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situação pelas vias </w:t>
            </w:r>
            <w:r w:rsidR="00D678D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dos normativo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 do exercício profissional, 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posto que, se o denunciado fosse instado a corrigir todos os RRTs emitidos de forma errada</w:t>
            </w:r>
            <w:r w:rsidR="00D678D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incorreria no pagamento de soma vultosa, conforme </w:t>
            </w:r>
            <w:r w:rsidR="00EC7EA0" w:rsidRPr="00CB28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DELIBERAÇÃO Nº 165.6.5/2020 – CEP-CAU/MG. c) A intimação do profissional a corrigir os RRTs poderá acarretar a impossibilidade do exercício profissional do denunciado, que é arquiteto urbanista atuante e que mantem a anuidade quitada em dia com emissões regulares de RRT</w:t>
            </w:r>
            <w:r w:rsidR="00D678D0" w:rsidRPr="00CB28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EC7EA0" w:rsidRPr="00CB28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d) Pressupõe-se que a intimação do profissional </w:t>
            </w:r>
            <w:r w:rsidR="00D678D0" w:rsidRPr="00CB28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par</w:t>
            </w:r>
            <w:r w:rsidR="00EC7EA0" w:rsidRPr="00CB28A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 corrigir os RRTs acarretará a abertura de 264 processos de fiscalização, o que prejudicará a atuação da CEP/MG em sua rotina, conforme DELIBERAÇÃO Nº 165.6.5/2020 – CEP-CAU/MG; e)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partir da análise da defesa prévia do denunciado e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identificação d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que</w:t>
            </w:r>
            <w:r w:rsidR="00B07DB9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aparentemente,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7EA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mesmo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passou a fazer os seus RRTs da forma correta, demonstra boa fé em sua conduta. </w:t>
            </w:r>
            <w:r w:rsidR="00B07DB9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Informamos que em análise expedita de uma amostra de vinte RRTs emitidos pelo profissional, após </w:t>
            </w:r>
            <w:r w:rsidR="00CB34FB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este </w:t>
            </w:r>
            <w:r w:rsidR="00B07DB9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ter tido ciência da denúncia, todos estão devidamente preenchidos. </w:t>
            </w:r>
          </w:p>
          <w:p w:rsidR="00B243D1" w:rsidRPr="00CB28AA" w:rsidRDefault="00B243D1" w:rsidP="00B24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D7282" w:rsidRPr="00CB28AA" w:rsidRDefault="000D7282" w:rsidP="000D728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D7282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4.7 [PROT. Nº 1001991-2019]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(Relator: Marília Palhares Machado.) </w:t>
            </w:r>
          </w:p>
        </w:tc>
      </w:tr>
      <w:tr w:rsidR="000D7282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82" w:rsidRPr="00CB28AA" w:rsidRDefault="00233824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Não houve tempo hábil para análise do Relatório e Voto. Este será apresentado na próxima reunião. </w:t>
            </w:r>
          </w:p>
        </w:tc>
      </w:tr>
    </w:tbl>
    <w:p w:rsidR="000D7282" w:rsidRPr="00CB28AA" w:rsidRDefault="000D7282" w:rsidP="000D728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af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D7282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0D7282" w:rsidRPr="00CB28AA" w:rsidRDefault="000D7282" w:rsidP="000D72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4.8 [PROT. Nº 957357-2019]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(Relator: Cecília Maria Rabelo Geraldo.) </w:t>
            </w:r>
          </w:p>
        </w:tc>
      </w:tr>
      <w:tr w:rsidR="000D7282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82" w:rsidRPr="00CB28AA" w:rsidRDefault="003D0565" w:rsidP="003D0565">
            <w:pPr>
              <w:pStyle w:val="Default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A Conselheira Relatora apresentou seu Relatório e voto que foi aprovado pela CED/MG. Aprovou o não provimento da denúncia ético-disciplinar e solicitou o arquivamento da mesma. Encaminhou o Relatório e Voto do Conselheiro Relator referente ao processo ético-disciplinar n° 957357-2019 para julgamento do Plenário do CAU/MG. </w:t>
            </w:r>
          </w:p>
        </w:tc>
      </w:tr>
    </w:tbl>
    <w:p w:rsidR="000D7282" w:rsidRPr="00CB28AA" w:rsidRDefault="000D7282" w:rsidP="000D7282">
      <w:pPr>
        <w:widowControl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a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D7282" w:rsidRPr="00CB28AA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0D7282" w:rsidRPr="00CB28AA" w:rsidRDefault="000D7282" w:rsidP="000D72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4.9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28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1067649-2020] 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="003D0565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D7282" w:rsidRPr="00CB28AA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7282" w:rsidRPr="00CB28AA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82" w:rsidRPr="00CB28AA" w:rsidRDefault="003D0565" w:rsidP="008B4A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a defesa prévia foi apresentada somente no domingo dia 18/10/2020, não houve tempo hábil para a Relatora analisar a documentação. Esta se manifestará na próxima reunião. </w:t>
            </w:r>
          </w:p>
        </w:tc>
      </w:tr>
    </w:tbl>
    <w:p w:rsidR="000D7282" w:rsidRPr="00CB28AA" w:rsidRDefault="000D7282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55E56" w:rsidRPr="00CB28A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655E56" w:rsidRPr="00CB28A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CB28AA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:rsidR="00CB51B7" w:rsidRPr="00CB28AA" w:rsidRDefault="003D0565" w:rsidP="005C53A8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bookmarkStart w:id="10" w:name="_heading=h.2et92p0" w:colFirst="0" w:colLast="0"/>
            <w:bookmarkEnd w:id="10"/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reunião entrou em intervalo de almoço das 13h00min às 14h00min. </w:t>
            </w:r>
            <w:r w:rsidR="0035575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17</w:t>
            </w:r>
            <w:r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5575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5C53A8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5C53A8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355750" w:rsidRPr="00CB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min. Para os devidos fins, eu, Diogo Ubaldo Braga, Assessor da Comissão de Ética do CAU/MG, lavrei esta Súmula.</w:t>
            </w:r>
          </w:p>
        </w:tc>
      </w:tr>
    </w:tbl>
    <w:p w:rsidR="00CB51B7" w:rsidRPr="00CB28AA" w:rsidRDefault="00CB51B7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Cecília Maria Rabelo Geraldo                               </w:t>
      </w: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:rsidR="00CB51B7" w:rsidRPr="00CB28AA" w:rsidRDefault="00CB51B7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Marília Palhares Machado</w:t>
      </w: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____________________________________</w:t>
      </w:r>
    </w:p>
    <w:p w:rsidR="00CB51B7" w:rsidRPr="00CB28AA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Adjunta da CED-CAU/MG</w:t>
      </w:r>
    </w:p>
    <w:p w:rsidR="00CB51B7" w:rsidRPr="00CB28AA" w:rsidRDefault="002E0BC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Luzia Edvan de Oliveira</w:t>
      </w: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  <w:r w:rsidR="00355750"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da CED-CAU/MG</w:t>
      </w:r>
    </w:p>
    <w:p w:rsidR="00CB51B7" w:rsidRPr="00CB28AA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CB51B7" w:rsidRPr="00CB28AA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Diogo Ubaldo Braga                                                </w:t>
      </w: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377CA"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CB51B7" w:rsidRPr="00CB28AA" w:rsidRDefault="0035575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28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 da CED-CAU/MG </w:t>
      </w:r>
    </w:p>
    <w:sectPr w:rsidR="00CB51B7" w:rsidRPr="00CB28A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E6" w:rsidRDefault="008F21E6">
      <w:r>
        <w:separator/>
      </w:r>
    </w:p>
  </w:endnote>
  <w:endnote w:type="continuationSeparator" w:id="0">
    <w:p w:rsidR="008F21E6" w:rsidRDefault="008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4A3F" w:rsidRDefault="008B4A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0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02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A3F" w:rsidRDefault="00F01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35C2B5" wp14:editId="7E7B70AB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E6" w:rsidRDefault="008F21E6">
      <w:r>
        <w:separator/>
      </w:r>
    </w:p>
  </w:footnote>
  <w:footnote w:type="continuationSeparator" w:id="0">
    <w:p w:rsidR="008F21E6" w:rsidRDefault="008F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3F" w:rsidRDefault="008B4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4A3F" w:rsidRDefault="008B4A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:rsidR="008B4A3F" w:rsidRDefault="008B4A3F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53F41"/>
    <w:multiLevelType w:val="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5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7ABB36BC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07C7F"/>
    <w:rsid w:val="0005406F"/>
    <w:rsid w:val="000C111D"/>
    <w:rsid w:val="000C74B5"/>
    <w:rsid w:val="000D7282"/>
    <w:rsid w:val="00110887"/>
    <w:rsid w:val="001374E7"/>
    <w:rsid w:val="001A6101"/>
    <w:rsid w:val="001B5AF9"/>
    <w:rsid w:val="001B5F19"/>
    <w:rsid w:val="001B5FEC"/>
    <w:rsid w:val="00202D93"/>
    <w:rsid w:val="00233824"/>
    <w:rsid w:val="002E0BC6"/>
    <w:rsid w:val="00311BA1"/>
    <w:rsid w:val="00331C91"/>
    <w:rsid w:val="003377CA"/>
    <w:rsid w:val="00355750"/>
    <w:rsid w:val="003A591A"/>
    <w:rsid w:val="003D0565"/>
    <w:rsid w:val="003F4636"/>
    <w:rsid w:val="004217CF"/>
    <w:rsid w:val="00467714"/>
    <w:rsid w:val="00494E74"/>
    <w:rsid w:val="0049694D"/>
    <w:rsid w:val="004A4B42"/>
    <w:rsid w:val="004B2916"/>
    <w:rsid w:val="004F6548"/>
    <w:rsid w:val="00577FA8"/>
    <w:rsid w:val="005877DC"/>
    <w:rsid w:val="005B14F3"/>
    <w:rsid w:val="005C237D"/>
    <w:rsid w:val="005C53A8"/>
    <w:rsid w:val="005F3A9C"/>
    <w:rsid w:val="005F4785"/>
    <w:rsid w:val="006501F6"/>
    <w:rsid w:val="00655E56"/>
    <w:rsid w:val="006D23F3"/>
    <w:rsid w:val="006F7D5D"/>
    <w:rsid w:val="00717096"/>
    <w:rsid w:val="00720C6D"/>
    <w:rsid w:val="007640DF"/>
    <w:rsid w:val="00857428"/>
    <w:rsid w:val="0086259B"/>
    <w:rsid w:val="008827AE"/>
    <w:rsid w:val="00893F85"/>
    <w:rsid w:val="008A3D90"/>
    <w:rsid w:val="008B4A3F"/>
    <w:rsid w:val="008D5DD0"/>
    <w:rsid w:val="008F21E6"/>
    <w:rsid w:val="009213F9"/>
    <w:rsid w:val="009A286E"/>
    <w:rsid w:val="009D6A7A"/>
    <w:rsid w:val="009F3923"/>
    <w:rsid w:val="00A26369"/>
    <w:rsid w:val="00A465DE"/>
    <w:rsid w:val="00AA3F5C"/>
    <w:rsid w:val="00AA63DC"/>
    <w:rsid w:val="00B07DB9"/>
    <w:rsid w:val="00B11979"/>
    <w:rsid w:val="00B176B1"/>
    <w:rsid w:val="00B243D1"/>
    <w:rsid w:val="00B31AFE"/>
    <w:rsid w:val="00B33B09"/>
    <w:rsid w:val="00B431ED"/>
    <w:rsid w:val="00B801D4"/>
    <w:rsid w:val="00B8136E"/>
    <w:rsid w:val="00B821F4"/>
    <w:rsid w:val="00C07AE9"/>
    <w:rsid w:val="00C74E17"/>
    <w:rsid w:val="00CB0E3E"/>
    <w:rsid w:val="00CB28AA"/>
    <w:rsid w:val="00CB34FB"/>
    <w:rsid w:val="00CB51B7"/>
    <w:rsid w:val="00CD7C27"/>
    <w:rsid w:val="00D430E9"/>
    <w:rsid w:val="00D678D0"/>
    <w:rsid w:val="00D85070"/>
    <w:rsid w:val="00DB2095"/>
    <w:rsid w:val="00DD7594"/>
    <w:rsid w:val="00DF4023"/>
    <w:rsid w:val="00DF417F"/>
    <w:rsid w:val="00E33C6B"/>
    <w:rsid w:val="00E9112C"/>
    <w:rsid w:val="00EA0A7B"/>
    <w:rsid w:val="00EC7EA0"/>
    <w:rsid w:val="00F017FC"/>
    <w:rsid w:val="00F51E60"/>
    <w:rsid w:val="00FA0A52"/>
    <w:rsid w:val="00FA7721"/>
    <w:rsid w:val="00FC041D"/>
    <w:rsid w:val="00FE528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16619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2</cp:revision>
  <dcterms:created xsi:type="dcterms:W3CDTF">2020-11-11T15:09:00Z</dcterms:created>
  <dcterms:modified xsi:type="dcterms:W3CDTF">2020-11-11T15:09:00Z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