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3679"/>
        <w:gridCol w:w="4133"/>
      </w:tblGrid>
      <w:tr>
        <w:trPr>
          <w:trHeight w:val="692" w:hRule="atLeast"/>
        </w:trPr>
        <w:tc>
          <w:tcPr>
            <w:tcW w:w="10188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center"/>
              <w:rPr/>
            </w:pPr>
            <w:r>
              <w:rPr>
                <w:rFonts w:cs="Times New Roman" w:ascii="Cambria" w:hAnsi="Cambria" w:asciiTheme="majorHAnsi" w:hAnsiTheme="majorHAnsi"/>
                <w:b/>
                <w:lang w:val="pt-BR"/>
              </w:rPr>
              <w:t>SÚMULA DA 161ª REUNIÃO (ORDINÁRIA) DA</w:t>
            </w:r>
          </w:p>
          <w:p>
            <w:pPr>
              <w:pStyle w:val="Normal"/>
              <w:widowControl/>
              <w:suppressLineNumbers/>
              <w:jc w:val="center"/>
              <w:rPr>
                <w:rFonts w:ascii="Cambria" w:hAnsi="Cambria" w:cs="Times New Roman" w:asciiTheme="majorHAnsi" w:hAnsiTheme="majorHAnsi"/>
                <w:sz w:val="26"/>
                <w:szCs w:val="26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>
        <w:trPr>
          <w:trHeight w:val="70" w:hRule="atLeast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10188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>
        <w:trPr>
          <w:trHeight w:val="330" w:hRule="atLeast"/>
        </w:trPr>
        <w:tc>
          <w:tcPr>
            <w:tcW w:w="23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/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 xml:space="preserve">16 de </w:t>
            </w:r>
            <w:r>
              <w:rPr>
                <w:rFonts w:eastAsia="Calibri" w:cs="Times New Roman" w:ascii="Cambria" w:hAnsi="Cambria" w:asciiTheme="majorHAnsi" w:hAnsiTheme="majorHAnsi"/>
                <w:sz w:val="20"/>
                <w:szCs w:val="20"/>
                <w:lang w:val="pt-BR"/>
              </w:rPr>
              <w:t>junho</w:t>
            </w: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 xml:space="preserve"> de 2020</w:t>
            </w:r>
          </w:p>
        </w:tc>
      </w:tr>
      <w:tr>
        <w:trPr>
          <w:trHeight w:val="330" w:hRule="atLeast"/>
        </w:trPr>
        <w:tc>
          <w:tcPr>
            <w:tcW w:w="23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>
        <w:trPr>
          <w:trHeight w:val="330" w:hRule="atLeast"/>
        </w:trPr>
        <w:tc>
          <w:tcPr>
            <w:tcW w:w="23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9h30min – 17h00min</w:t>
            </w:r>
          </w:p>
        </w:tc>
      </w:tr>
      <w:tr>
        <w:trPr>
          <w:trHeight w:val="85" w:hRule="atLeast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10188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>
        <w:trPr>
          <w:trHeight w:val="330" w:hRule="atLeast"/>
        </w:trPr>
        <w:tc>
          <w:tcPr>
            <w:tcW w:w="23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67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Coordenador da CEP-CAU/MG</w:t>
            </w:r>
          </w:p>
        </w:tc>
      </w:tr>
      <w:tr>
        <w:trPr>
          <w:trHeight w:val="330" w:hRule="atLeast"/>
        </w:trPr>
        <w:tc>
          <w:tcPr>
            <w:tcW w:w="237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67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Coordenadora Adjunta da CEP-CAU/MG</w:t>
            </w:r>
          </w:p>
        </w:tc>
      </w:tr>
      <w:tr>
        <w:trPr>
          <w:trHeight w:val="330" w:hRule="atLeast"/>
        </w:trPr>
        <w:tc>
          <w:tcPr>
            <w:tcW w:w="237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  <w:tc>
          <w:tcPr>
            <w:tcW w:w="367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Membro da CEP-CAU/MG</w:t>
            </w:r>
          </w:p>
        </w:tc>
      </w:tr>
      <w:tr>
        <w:trPr>
          <w:trHeight w:val="330" w:hRule="atLeast"/>
        </w:trPr>
        <w:tc>
          <w:tcPr>
            <w:tcW w:w="237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  <w:tc>
          <w:tcPr>
            <w:tcW w:w="367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Membro da CEP-CAU/MG</w:t>
            </w:r>
          </w:p>
        </w:tc>
      </w:tr>
      <w:tr>
        <w:trPr>
          <w:trHeight w:val="330" w:hRule="atLeast"/>
        </w:trPr>
        <w:tc>
          <w:tcPr>
            <w:tcW w:w="23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eastAsia="Calibri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Calibri" w:cs="Times New Roman" w:ascii="Cambria" w:hAnsi="Cambria"/>
                <w:b/>
                <w:sz w:val="20"/>
                <w:szCs w:val="20"/>
                <w:lang w:val="pt-BR"/>
              </w:rPr>
              <w:t>Samira de Almeida Houri</w:t>
            </w:r>
          </w:p>
        </w:tc>
      </w:tr>
      <w:tr>
        <w:trPr>
          <w:trHeight w:val="85" w:hRule="atLeast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10188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3. PAUTA:</w:t>
            </w:r>
          </w:p>
        </w:tc>
      </w:tr>
      <w:tr>
        <w:trPr>
          <w:trHeight w:val="801" w:hRule="atLeast"/>
        </w:trPr>
        <w:tc>
          <w:tcPr>
            <w:tcW w:w="1018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Verificação de quórum:</w:t>
            </w:r>
          </w:p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Normal"/>
              <w:widowControl/>
              <w:suppressLineNumbers/>
              <w:jc w:val="both"/>
              <w:rPr/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Às 09h44, foi registrado o quó</w:t>
            </w:r>
            <w:r>
              <w:rPr>
                <w:rFonts w:cs="Times New Roman" w:ascii="Cambria" w:hAnsi="Cambria" w:asciiTheme="majorHAnsi" w:hAnsiTheme="majorHAnsi"/>
                <w:b w:val="false"/>
                <w:bCs w:val="false"/>
                <w:sz w:val="20"/>
                <w:szCs w:val="20"/>
                <w:lang w:val="pt-BR"/>
              </w:rPr>
              <w:t xml:space="preserve">rum necessário </w:t>
            </w:r>
            <w:bookmarkStart w:id="0" w:name="docs-internal-guid-37db6484-7fff-2cd1-74"/>
            <w:bookmarkEnd w:id="0"/>
            <w:r>
              <w:rPr>
                <w:rFonts w:cs="Times New Roman" w:ascii="Cambria;serif" w:hAnsi="Cambria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para a realização da reunião, estando presentes os conselheiros Ademir Nogueira de Ávila, Ariel Luis Lazzarin e Maria Edwirges Sobreira Leal.</w:t>
            </w:r>
            <w:r>
              <w:rPr>
                <w:rFonts w:cs="Times New Roman" w:ascii="Cambria" w:hAnsi="Cambria" w:asciiTheme="majorHAnsi" w:hAnsiTheme="majorHAnsi"/>
                <w:b w:val="false"/>
                <w:bCs w:val="false"/>
                <w:sz w:val="20"/>
                <w:szCs w:val="20"/>
                <w:lang w:val="pt-BR"/>
              </w:rPr>
              <w:t xml:space="preserve"> </w:t>
            </w:r>
          </w:p>
        </w:tc>
      </w:tr>
      <w:tr>
        <w:trPr>
          <w:trHeight w:val="3211" w:hRule="atLeast"/>
        </w:trPr>
        <w:tc>
          <w:tcPr>
            <w:tcW w:w="1018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>Nomeação de Relatores de Processos de Fiscalização;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>
            <w:pPr>
              <w:pStyle w:val="Normal"/>
              <w:numPr>
                <w:ilvl w:val="1"/>
                <w:numId w:val="3"/>
              </w:numPr>
              <w:spacing w:lineRule="auto" w:line="276"/>
              <w:ind w:left="1014" w:hanging="360"/>
              <w:rPr/>
            </w:pPr>
            <w:bookmarkStart w:id="1" w:name="docs-internal-guid-748bb699-7fff-cec9-00"/>
            <w:bookmarkEnd w:id="1"/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0"/>
                <w:u w:val="none"/>
                <w:effect w:val="none"/>
                <w:lang w:val="pt-BR"/>
              </w:rPr>
              <w:t>Acompanhamento do Plano de Ações de Fiscalização:</w:t>
            </w: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bookmarkStart w:id="2" w:name="docs-internal-guid-125b70c6-7fff-ebc5-f8"/>
            <w:bookmarkEnd w:id="2"/>
            <w:r>
              <w:rPr>
                <w:rFonts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Confecção de material de orientação;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Ação educativa em seção técnica de órgãos públicos;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Ação educativa em instituições de ensino de arquitetura e urbanismo;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Feiras, exposições e eventos;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Condomínios verticais e horizontais e áreas de expansão das cidades;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Fiscalização de pessoas jurídica</w:t>
            </w:r>
          </w:p>
          <w:p>
            <w:pPr>
              <w:pStyle w:val="Corpodotexto"/>
              <w:numPr>
                <w:ilvl w:val="0"/>
                <w:numId w:val="0"/>
              </w:numPr>
              <w:spacing w:lineRule="auto" w:line="276"/>
              <w:ind w:left="2454" w:hanging="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r>
          </w:p>
          <w:p>
            <w:pPr>
              <w:pStyle w:val="Corpodotexto"/>
              <w:numPr>
                <w:ilvl w:val="1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bookmarkStart w:id="3" w:name="docs-internal-guid-22d22bf4-7fff-bff5-99"/>
            <w:bookmarkEnd w:id="3"/>
            <w:r>
              <w:rPr>
                <w:rFonts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Alterações em procedimentos de Vistorias de obras: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</w:pPr>
            <w:bookmarkStart w:id="4" w:name="docs-internal-guid-17a03da5-7fff-f870-da"/>
            <w:bookmarkEnd w:id="4"/>
            <w:r>
              <w:rPr>
                <w:rFonts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Notificação do proprietário vs. Notificação do responsável técnico identificado;</w:t>
            </w:r>
          </w:p>
          <w:p>
            <w:pPr>
              <w:pStyle w:val="Corpodotexto"/>
              <w:numPr>
                <w:ilvl w:val="2"/>
                <w:numId w:val="3"/>
              </w:numPr>
              <w:spacing w:lineRule="auto" w:line="276"/>
              <w:ind w:left="1014" w:hanging="360"/>
              <w:rPr/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</w:rPr>
              <w:t>Listagem de atividades técnicas a fiscalizar e definição do número de relatórios a elaborar por obra visitada.</w:t>
            </w:r>
          </w:p>
          <w:p>
            <w:pPr>
              <w:pStyle w:val="Corpodotexto"/>
              <w:numPr>
                <w:ilvl w:val="0"/>
                <w:numId w:val="0"/>
              </w:numPr>
              <w:spacing w:lineRule="auto" w:line="276"/>
              <w:ind w:left="1800" w:hanging="0"/>
              <w:rPr>
                <w:rFonts w:ascii="Cambria;serif" w:hAnsi="Cambria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pPr>
            <w:r>
              <w:rPr>
                <w:rFonts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</w:r>
          </w:p>
          <w:p>
            <w:pPr>
              <w:pStyle w:val="Corpodotexto"/>
              <w:numPr>
                <w:ilvl w:val="0"/>
                <w:numId w:val="3"/>
              </w:numPr>
              <w:spacing w:lineRule="auto" w:line="276"/>
              <w:rPr>
                <w:rFonts w:ascii="Cambria" w:hAnsi="Cambria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1"/>
                <w:szCs w:val="21"/>
                <w:u w:val="none"/>
                <w:effect w:val="none"/>
                <w:lang w:eastAsia="en-US" w:bidi="ar-SA"/>
              </w:rPr>
            </w:pPr>
            <w:r>
              <w:rPr>
                <w:rFonts w:eastAsia="Calibri" w:cs="Calibri"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1"/>
                <w:szCs w:val="21"/>
                <w:u w:val="none"/>
                <w:effect w:val="none"/>
                <w:lang w:val="pt-BR" w:eastAsia="en-US" w:bidi="ar-SA"/>
              </w:rPr>
              <w:t>Assinaturas em documentos comprobatórios para aprovação de RRT Extemporâneo;</w:t>
            </w:r>
          </w:p>
          <w:p>
            <w:pPr>
              <w:pStyle w:val="Corpodotexto"/>
              <w:numPr>
                <w:ilvl w:val="0"/>
                <w:numId w:val="3"/>
              </w:numPr>
              <w:spacing w:lineRule="auto" w:line="276"/>
              <w:rPr>
                <w:rFonts w:ascii="Cambria" w:hAnsi="Cambria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1"/>
                <w:szCs w:val="21"/>
                <w:u w:val="none"/>
                <w:effect w:val="none"/>
                <w:lang w:eastAsia="en-US" w:bidi="ar-SA"/>
              </w:rPr>
            </w:pPr>
            <w:r>
              <w:rPr>
                <w:rFonts w:eastAsia="Calibri" w:cs="Calibri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1"/>
                <w:szCs w:val="21"/>
                <w:u w:val="none"/>
                <w:effect w:val="none"/>
                <w:lang w:eastAsia="en-US" w:bidi="ar-SA"/>
              </w:rPr>
              <w:t>Solicitação de Manifestação sobre atribuições profissionais;</w:t>
            </w:r>
          </w:p>
          <w:p>
            <w:pPr>
              <w:pStyle w:val="Corpodotexto"/>
              <w:numPr>
                <w:ilvl w:val="0"/>
                <w:numId w:val="3"/>
              </w:numPr>
              <w:spacing w:lineRule="auto" w:line="276"/>
              <w:rPr>
                <w:rFonts w:ascii="Cambria" w:hAnsi="Cambria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1"/>
                <w:szCs w:val="21"/>
                <w:u w:val="none"/>
                <w:effect w:val="none"/>
                <w:lang w:eastAsia="en-US" w:bidi="ar-SA"/>
              </w:rPr>
            </w:pPr>
            <w:r>
              <w:rPr>
                <w:rFonts w:eastAsia="Calibri" w:cs="Calibri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1"/>
                <w:szCs w:val="21"/>
                <w:u w:val="none"/>
                <w:effect w:val="none"/>
                <w:lang w:eastAsia="en-US" w:bidi="ar-SA"/>
              </w:rPr>
              <w:t>Elaboração de RRT em período de registro interrompido (RRT 9567591);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829" w:hRule="atLeast"/>
        </w:trPr>
        <w:tc>
          <w:tcPr>
            <w:tcW w:w="1018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Comunicados:</w:t>
            </w:r>
          </w:p>
          <w:p>
            <w:pPr>
              <w:pStyle w:val="Normal"/>
              <w:widowControl/>
              <w:suppressLineNumbers/>
              <w:ind w:left="567" w:hanging="0"/>
              <w:jc w:val="both"/>
              <w:rPr>
                <w:rFonts w:ascii="Cambria" w:hAnsi="Cambria" w:cs="Times New Roman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LineNumbers/>
              <w:rPr>
                <w:rFonts w:ascii="Cambria" w:hAnsi="Cambria" w:eastAsia="Calibri" w:cs="Times New Roman" w:asciiTheme="majorHAnsi" w:hAnsiTheme="majorHAnsi"/>
                <w:sz w:val="20"/>
                <w:szCs w:val="20"/>
                <w:lang w:val="pt-BR"/>
              </w:rPr>
            </w:pPr>
            <w:bookmarkStart w:id="5" w:name="docs-internal-guid-ba15ae3f-7fff-858e-83"/>
            <w:bookmarkEnd w:id="5"/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Do Conselho Diretor: Manifestação sobre a Deliberação Plenária DPEBR Nº 0007-06/2020 (condução de processos enquanto perdurar o estado de calamidade pública pela pandemia de Covid-19;</w:t>
            </w:r>
            <w:r>
              <w:rPr>
                <w:rFonts w:eastAsia="Calibri" w:cs="Times New Roman" w:ascii="Cambria" w:hAnsi="Cambria"/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LineNumbers/>
              <w:rPr>
                <w:rFonts w:ascii="Cambria" w:hAnsi="Cambria" w:eastAsia="Calibri" w:cs="Times New Roman" w:asciiTheme="majorHAnsi" w:hAnsiTheme="majorHAnsi"/>
                <w:sz w:val="20"/>
                <w:szCs w:val="20"/>
                <w:lang w:val="pt-BR"/>
              </w:rPr>
            </w:pPr>
            <w:bookmarkStart w:id="6" w:name="docs-internal-guid-923fe7d2-7fff-488c-1f"/>
            <w:bookmarkEnd w:id="6"/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Da Gerência Jurídica: Parecer sobre aplicação da Resolução 75/2014 do CAU/BR.</w:t>
            </w:r>
            <w:r>
              <w:rPr>
                <w:rFonts w:eastAsia="Calibri" w:cs="Times New Roman" w:ascii="Cambria" w:hAnsi="Cambria"/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LineNumbers/>
              <w:ind w:left="821" w:hanging="0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622" w:hRule="atLeast"/>
        </w:trPr>
        <w:tc>
          <w:tcPr>
            <w:tcW w:w="1018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b/>
                <w:sz w:val="10"/>
                <w:szCs w:val="10"/>
                <w:lang w:val="pt-BR"/>
              </w:rPr>
            </w:r>
          </w:p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Encerramento:</w:t>
            </w:r>
          </w:p>
          <w:p>
            <w:pPr>
              <w:pStyle w:val="Normal"/>
              <w:widowControl/>
              <w:suppressLineNumbers/>
              <w:jc w:val="both"/>
              <w:rPr/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A sessão foi encerrada às 18h36.</w:t>
            </w:r>
          </w:p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</w:tbl>
    <w:p>
      <w:pPr>
        <w:pStyle w:val="Normal"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</w:r>
    </w:p>
    <w:p>
      <w:pPr>
        <w:pStyle w:val="Normal"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</w:r>
    </w:p>
    <w:tbl>
      <w:tblPr>
        <w:tblStyle w:val="Tabelacomgrade"/>
        <w:tblW w:w="10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330" w:hRule="atLeast"/>
        </w:trPr>
        <w:tc>
          <w:tcPr>
            <w:tcW w:w="101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both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>
      <w:pPr>
        <w:pStyle w:val="Normal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</w:r>
    </w:p>
    <w:tbl>
      <w:tblPr>
        <w:tblStyle w:val="Tabelacomgrade"/>
        <w:tblW w:w="10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2"/>
        <w:gridCol w:w="8045"/>
      </w:tblGrid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>
        <w:trPr>
          <w:trHeight w:val="1068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Cambria" w:hAnsi="Cambria"/>
                <w:sz w:val="20"/>
                <w:szCs w:val="20"/>
                <w:lang w:val="pt-BR"/>
              </w:rPr>
              <w:t>Não foram julgados processos de fiscalização.</w:t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NOMEAÇÃO DE RELATORES</w:t>
            </w:r>
          </w:p>
        </w:tc>
      </w:tr>
      <w:tr>
        <w:trPr>
          <w:trHeight w:val="1068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Times New Roman" w:ascii="Cambria" w:hAnsi="Cambria"/>
                <w:sz w:val="20"/>
                <w:szCs w:val="20"/>
                <w:lang w:val="pt-BR"/>
              </w:rPr>
              <w:t xml:space="preserve">Deliberou-se pela redistribuição dos processos de fiscalização pendentes de relatoria, bem como pela distribuição dos processos que aguardando definição de relator. </w:t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ASSUNTOS ORIUNDOS DA GERTEF</w:t>
            </w:r>
          </w:p>
        </w:tc>
      </w:tr>
      <w:tr>
        <w:trPr>
          <w:trHeight w:val="1068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ascii="Cambria" w:hAnsi="Cambria"/>
                <w:sz w:val="10"/>
                <w:szCs w:val="10"/>
                <w:lang w:val="pt-BR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Acompanhamento do Plano de Ações da Fiscalização: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dar continuidade na confecção do manual, com a retomada dos arquivos produzidos, bem por solicitar informações, à Assessoria de Comunicação, sobre andamento da confecção de adesivo de fiscalização de obras, aprovado na Deliberação n° 150.6.3/2019-CEP-CAU/MG, datada do dia 16/07/2019, além de solicitar informações, à Assessoria de Comunicação, sobre andamento da confecção de modelo de placas de identificação de obras, aprovado na Deliberação n° 151.3.1.2.5/2019-CEP-CAU/MG, datada do dia 21/08/2019;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encaminhar, à Assessoria de Comunicação, o conteúdo do ofício elaborado para que seja enviado aos profissionais de Arquitetura e Urbanismo por meio de e-mail e que também seja divulgado o conteúdo nas redes sociais do CAU/MG;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>
                <w:rFonts w:ascii="Cambria" w:hAnsi="Cambria" w:eastAsia="Calibri" w:cs="Calibri" w:asciiTheme="majorHAnsi" w:hAnsiTheme="majorHAnsi"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encaminhar, à CEF-CAU/MG, o ofício elaborado para análise e considerações, no prazo de 45 dias do recebimento da deliberação, bem como por solicitar à Gerência Jurídica todos os documentos elaborados – pareceres, memorandos (principalmente o Memorando GERJUR nº 50/2017) e notas jurídicas – relacionados à fiscalização do exercício profissional de arquitetos e urbanistas docentes em instituições de ensino superior de Arquitetura e Urbanismo;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>
                <w:rFonts w:ascii="Cambria" w:hAnsi="Cambria" w:asciiTheme="majorHAnsi" w:hAnsiTheme="majorHAnsi"/>
              </w:rPr>
            </w:pPr>
            <w:r>
              <w:rPr>
                <w:rFonts w:eastAsia="Calibri" w:cs="Calibri" w:ascii="Cambria" w:hAnsi="Cambria"/>
                <w:sz w:val="20"/>
                <w:szCs w:val="20"/>
                <w:lang w:val="pt-BR"/>
              </w:rPr>
              <w:t>Deliberou-se pela suspensão da atividade enquanto durar a pandemia da COVID-19;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solicitar à Assessoria de Eventos que verifique, junto ao Sindicato dos Síndicos, se haverá evento, em formato virtual, para o Dia do Síndico, contudo, caso não haja tal previsão, se haveria a possibilidade de firmarmos uma parceria para realização de evento;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encaminhar à Plenária do CAU/MG solicitação de revisão da Deliberação Plenária DPOMG 0070.6.12/2017 no que tange à documentação para instauração do processo de fiscalização para a infração de Ausência de Registro de Pessoa Jurídica;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ascii="Cambria" w:hAnsi="Cambria" w:asciiTheme="majorHAnsi" w:hAnsiTheme="majorHAnsi"/>
                <w:sz w:val="20"/>
                <w:szCs w:val="20"/>
                <w:lang w:val="pt-BR"/>
              </w:rPr>
              <w:t>A</w:t>
            </w: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lterações em procedimentos de Vistoria de obras: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 xml:space="preserve">Deliberou-se por questionar aos CAU/BA, CAU/GO, CAU/PR, CAU/RJ e CAU/RS, sobre seus procedimentos de fiscalização de obras, principalmente em relação aos interessados nos processos de fiscalização, </w:t>
            </w: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highlight w:val="yellow"/>
                <w:lang w:val="pt-BR"/>
              </w:rPr>
              <w:t>bem como questionar à Gerência Jurídica sobre as implicações judiciais dos processos de fiscalização de obras, quando houver profissionais registrados em outros conselhos profissionais</w:t>
            </w: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;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76"/>
              <w:ind w:left="430" w:hanging="426"/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Deliberou-se por elaborar estudo sobre quais atividades de Arquitetura e Urbanismo serão fiscalizadas nas tipologias das edificações.</w:t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0"/>
                <w:u w:val="none"/>
                <w:effect w:val="none"/>
                <w:lang w:val="pt-BR"/>
              </w:rPr>
              <w:t>ASSINATURAS EM DOCUMENTOS COMPROBATÓRIOS PARA APROVAÇÃO DE RRT EXTEMPORÂNEO</w:t>
            </w: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>
        <w:trPr>
          <w:trHeight w:val="125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Em análise a situação, deliberou-se por não aceitar os documentos apresentados, bem como por solicitar que a declaração seja impressa, assinada de próprio punho, digitalizada ou fotografada e anexada à solicitação no SICCAU. Caso não haja possibilidade de impressão, o documento pode ser elaborado todo de próprio punho, assinado, digitalizado ou fotografado e anexado à solicitação no SICCAU.</w:t>
            </w:r>
          </w:p>
          <w:p>
            <w:pPr>
              <w:pStyle w:val="Normal"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7" w:name="docs-internal-guid-c1f280bd-7fff-2d94-6d"/>
            <w:bookmarkEnd w:id="7"/>
            <w:r>
              <w:rPr>
                <w:rFonts w:cs="Times New Roman"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0"/>
                <w:u w:val="none"/>
                <w:effect w:val="none"/>
                <w:lang w:val="pt-BR"/>
              </w:rPr>
              <w:t>SOLICITAÇÃO DE MANIFESTAÇÃO SOBRE ATRIBUIÇÕES PROFISSIONAIS</w:t>
            </w:r>
          </w:p>
        </w:tc>
      </w:tr>
      <w:tr>
        <w:trPr>
          <w:trHeight w:val="692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 w:ascii="Cambria" w:hAnsi="Cambria" w:asciiTheme="majorHAnsi" w:hAnsiTheme="majorHAnsi"/>
                <w:sz w:val="20"/>
                <w:szCs w:val="20"/>
                <w:lang w:val="pt-BR"/>
              </w:rPr>
              <w:t>Em análise à solicitação, deliberou-se por informar que as atividades de desenho técnico, no campo de Arquitetura e Urbanismo, estão inseridas nas atribuições de arquitetos e urbanistas.</w:t>
            </w:r>
          </w:p>
          <w:p>
            <w:pPr>
              <w:pStyle w:val="Normal"/>
              <w:jc w:val="both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8" w:name="docs-internal-guid-e6b99cfc-7fff-5845-19"/>
            <w:bookmarkEnd w:id="8"/>
            <w:r>
              <w:rPr>
                <w:rFonts w:cs="Times New Roman"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0"/>
                <w:u w:val="none"/>
                <w:effect w:val="none"/>
                <w:lang w:val="pt-BR"/>
              </w:rPr>
              <w:t>ELABORAÇÃO DE RRT EM PERÍODO DE REGISTRO INTERROMPIDO (RRT</w:t>
            </w:r>
            <w:r>
              <w:rPr>
                <w:rFonts w:cs="Times New Roman" w:ascii="Cambria" w:hAnsi="Cambria" w:asciiTheme="majorHAnsi" w:hAnsiTheme="majorHAnsi"/>
                <w:b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 xml:space="preserve"> </w:t>
            </w:r>
            <w:r>
              <w:rPr>
                <w:rFonts w:cs="Times New Roman" w:ascii="Cambria;serif" w:hAnsi="Cambria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0"/>
                <w:u w:val="none"/>
                <w:effect w:val="none"/>
                <w:lang w:val="pt-BR"/>
              </w:rPr>
              <w:t>9567591)</w:t>
            </w:r>
          </w:p>
        </w:tc>
      </w:tr>
      <w:tr>
        <w:trPr>
          <w:trHeight w:val="692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 w:ascii="Cambria" w:hAnsi="Cambria" w:asciiTheme="majorHAnsi" w:hAnsiTheme="majorHAnsi"/>
                <w:sz w:val="20"/>
                <w:szCs w:val="20"/>
                <w:lang w:val="pt-BR"/>
              </w:rPr>
              <w:t xml:space="preserve">Em análise ao RRT 9567591, deliberou-se por questionar à Gerência Jurídica se podemos exigir a reativação retroativa do registro profissional, uma vez que foi identificada a atuação, bem como qual encaminhamento deverá ser dado para o cumprimento do </w:t>
            </w:r>
            <w:r>
              <w:rPr>
                <w:rFonts w:eastAsia="Calibri" w:cs="Times New Roman" w:ascii="Cambria" w:hAnsi="Cambria" w:asciiTheme="majorHAnsi" w:hAnsiTheme="maj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t-BR"/>
              </w:rPr>
              <w:t>§ 3º</w:t>
            </w:r>
            <w:r>
              <w:rPr>
                <w:rFonts w:eastAsia="Calibri" w:cs="Times New Roman" w:ascii="Cambria" w:hAnsi="Cambria" w:asciiTheme="majorHAnsi" w:hAnsiTheme="majorHAnsi"/>
                <w:sz w:val="20"/>
                <w:szCs w:val="20"/>
                <w:lang w:val="pt-BR"/>
              </w:rPr>
              <w:t xml:space="preserve"> do artigo 4º da Resolução CAU/BR nº 167/2018.</w:t>
            </w:r>
          </w:p>
          <w:p>
            <w:pPr>
              <w:pStyle w:val="Normal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70" w:hRule="atLeast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  <w:szCs w:val="10"/>
                <w:highlight w:val="yellow"/>
                <w:lang w:val="pt-BR"/>
              </w:rPr>
            </w:pPr>
            <w:r>
              <w:rPr>
                <w:sz w:val="10"/>
                <w:szCs w:val="10"/>
                <w:highlight w:val="yellow"/>
                <w:lang w:val="pt-BR"/>
              </w:rPr>
            </w:r>
          </w:p>
        </w:tc>
      </w:tr>
      <w:tr>
        <w:trPr>
          <w:trHeight w:val="330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>
        <w:trPr>
          <w:trHeight w:val="692" w:hRule="atLeast"/>
        </w:trPr>
        <w:tc>
          <w:tcPr>
            <w:tcW w:w="21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ascii="Cambria" w:hAnsi="Cambria"/>
                <w:sz w:val="10"/>
                <w:szCs w:val="10"/>
                <w:lang w:val="pt-BR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mbria" w:hAnsi="Cambria" w:eastAsia="Calibri" w:cs="Calibri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eastAsia="Calibri" w:cs="Calibri" w:ascii="Cambria" w:hAnsi="Cambria"/>
                <w:sz w:val="20"/>
                <w:szCs w:val="20"/>
                <w:lang w:val="pt-BR"/>
              </w:rPr>
              <w:t xml:space="preserve">Com relação à </w:t>
            </w:r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Deliberação Plenária DPEBR Nº 0007-06/2020 (condução de processos enquanto perdurar o estado de calamidade pública pela pandemia de Covid-19), deliberou-se pelo atendimento da referida deliberação, no que tange à suspensão dos prazos processuais, bem como por informar ao Conselho Diretor sobre a sua aplicabilidade;</w:t>
            </w:r>
          </w:p>
          <w:p>
            <w:pPr>
              <w:pStyle w:val="ListParagraph"/>
              <w:numPr>
                <w:ilvl w:val="1"/>
                <w:numId w:val="1"/>
              </w:numPr>
              <w:rPr/>
            </w:pPr>
            <w:r>
              <w:rPr>
                <w:rFonts w:eastAsia="Calibri" w:cs="Calibri" w:ascii="Cambria" w:hAnsi="Cambria" w:asciiTheme="majorHAnsi" w:hAnsiTheme="majorHAnsi"/>
                <w:sz w:val="20"/>
                <w:szCs w:val="20"/>
                <w:lang w:val="pt-BR"/>
              </w:rPr>
              <w:t>Com relação ao p</w:t>
            </w:r>
            <w:r>
              <w:rPr>
                <w:rFonts w:eastAsia="Calibri" w:cs="Times New Roman"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arecer da Gerência Jurídica sobre aplicação da Resolução 75/2014 do CAU/BR, deliberou-se por solicitar orientações, à CEP-CAU/BR, sobre os procedimentos, para cumprimento do referido normativo, referentes à capitulação da infração, bem como ao cálculo do valor da multa devida, uma vez que tais informações não estão, atualmente, disponíveis no Sistema de Informação e Comunicação do CAU (SICCAU), nem na Resolução CAU/BR nº 22/2012.</w:t>
            </w:r>
          </w:p>
          <w:p>
            <w:pPr>
              <w:pStyle w:val="ListParagraph"/>
              <w:numPr>
                <w:ilvl w:val="1"/>
                <w:numId w:val="1"/>
              </w:numPr>
              <w:rPr/>
            </w:pPr>
            <w:r>
              <w:rPr>
                <w:rFonts w:eastAsia="Calibri" w:cs="Times New Roman"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Com relação à atualização cadastral de pessoas jurídicas, deliberou-se por enviar solicitação de orientações à CEP-CAU/BR sobre as Classificações Nacionais de Atividades Econômicas (CNAE) que devem ser inseridas no Sistema de Informação e Comunicação do CAU (SICCAU),no momento do registro das pessoas jurídicas, bem como alertar sobre a possibilidade de confusão de entendimento, por parte dos leigos, em processos licitatórios, na divergência de informações constantes no Cartão CNPJ e na Certidão de Registro e Quitação de Pessoa Jurídica (CRQPJ).</w:t>
            </w:r>
          </w:p>
          <w:p>
            <w:pPr>
              <w:pStyle w:val="ListParagraph"/>
              <w:numPr>
                <w:ilvl w:val="1"/>
                <w:numId w:val="1"/>
              </w:numPr>
              <w:rPr/>
            </w:pPr>
            <w:r>
              <w:rPr>
                <w:rFonts w:eastAsia="Calibri" w:cs="Times New Roman" w:ascii="Cambria" w:hAnsi="Cambria" w:asciiTheme="majorHAnsi" w:hAnsi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  <w:t>Com relação à participação da CEP-CAU/MG nos eventos CAU e a Cidade, aprovada na 103ª Reunião Plenária do CAU/MG, deliberou-se por solicitar à Presidência informações de temas e datas dos próximos eventos, bem como a forma como se dará a participação da comissão, para que a CEP-CAU/MG possa informar os participantes;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mbria" w:hAnsi="Cambria" w:eastAsia="Calibri" w:cs="Times New Roman" w:asciiTheme="majorHAnsi" w:hAnsiTheme="majorHAns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lang w:val="pt-BR"/>
              </w:rPr>
            </w:pPr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  <w:effect w:val="none"/>
                <w:lang w:val="pt-BR"/>
              </w:rPr>
              <w:t>Deliberou-se por cobrar o encaminhamento do Parecer Jurídico sobre a Fiscalização do Salário Mínimo profissional, conforme solicitado pela Deliberação n° 151.3.1.3/2019-CEP-CAU/MG datada do dia 21/08/2019;</w:t>
            </w:r>
          </w:p>
          <w:p>
            <w:pPr>
              <w:pStyle w:val="ListParagraph"/>
              <w:numPr>
                <w:ilvl w:val="1"/>
                <w:numId w:val="1"/>
              </w:numPr>
              <w:rPr/>
            </w:pPr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  <w:effect w:val="none"/>
                <w:lang w:val="pt-BR"/>
              </w:rPr>
              <w:t xml:space="preserve">Com relação </w:t>
            </w:r>
            <w:r>
              <w:rPr>
                <w:rFonts w:eastAsia="Calibri" w:cs="Times New Roman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0"/>
                <w:szCs w:val="20"/>
                <w:u w:val="none"/>
                <w:effect w:val="none"/>
                <w:lang w:val="pt-BR" w:eastAsia="en-US" w:bidi="ar-SA"/>
              </w:rPr>
              <w:t xml:space="preserve">ao Ofício circular nº 023/2020-CAU/BR, deliberou-se pela sugestão de parcelamento da anuidade do ano corrente em até 10 vezes. </w:t>
            </w:r>
          </w:p>
          <w:p>
            <w:pPr>
              <w:pStyle w:val="Normal"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  <w:bookmarkStart w:id="9" w:name="_GoBack"/>
            <w:bookmarkStart w:id="10" w:name="_GoBack"/>
            <w:bookmarkEnd w:id="10"/>
          </w:p>
        </w:tc>
      </w:tr>
    </w:tbl>
    <w:p>
      <w:pPr>
        <w:pStyle w:val="Norm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tbl>
      <w:tblPr>
        <w:tblStyle w:val="Tabelacomgrelha1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6"/>
        <w:gridCol w:w="5904"/>
      </w:tblGrid>
      <w:tr>
        <w:trPr>
          <w:trHeight w:val="539" w:hRule="atLeast"/>
        </w:trPr>
        <w:tc>
          <w:tcPr>
            <w:tcW w:w="10200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29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9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9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9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9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9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20" w:top="1559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altName w:val="serif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f3d2b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Application>LibreOffice/6.3.3.2$Windows_X86_64 LibreOffice_project/a64200df03143b798afd1ec74a12ab50359878ed</Application>
  <Pages>3</Pages>
  <Words>1267</Words>
  <Characters>7691</Characters>
  <CharactersWithSpaces>8829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2019-10-15T16:40:00Z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2017-05-11T17:11:00Z</cp:lastPrinted>
  <dcterms:modified xsi:type="dcterms:W3CDTF">2020-06-22T16:00:55Z</dcterms:modified>
  <cp:revision>77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