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6"/>
        <w:gridCol w:w="7902"/>
      </w:tblGrid>
      <w:tr>
        <w:trPr>
          <w:trHeight w:val="370" w:hRule="atLeast"/>
        </w:trPr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 xml:space="preserve">Conselho Diretor; </w:t>
            </w: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Comissão de Exercício Profissional</w:t>
            </w: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 xml:space="preserve">; </w:t>
            </w: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</w:p>
        </w:tc>
      </w:tr>
      <w:tr>
        <w:trPr>
          <w:trHeight w:val="318" w:hRule="atLeast"/>
        </w:trPr>
        <w:tc>
          <w:tcPr>
            <w:tcW w:w="17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9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/>
                <w:b/>
                <w:sz w:val="21"/>
                <w:szCs w:val="21"/>
                <w:lang w:val="pt-BR"/>
              </w:rPr>
              <w:t>ANÁLISE DPEBR Nº 0007-06/2020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4"/>
                <w:szCs w:val="22"/>
                <w:lang w:val="pt-BR" w:eastAsia="en-US" w:bidi="ar-SA"/>
              </w:rPr>
              <w:t>7.1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sz w:val="21"/>
          <w:szCs w:val="21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sz w:val="21"/>
          <w:szCs w:val="21"/>
          <w:lang w:val="pt-BR"/>
        </w:rPr>
      </w:pPr>
      <w:r>
        <w:rPr>
          <w:rFonts w:cs="Times New Roman" w:ascii="Cambria" w:hAnsi="Cambria"/>
          <w:sz w:val="21"/>
          <w:szCs w:val="21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sz w:val="21"/>
          <w:szCs w:val="21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sz w:val="21"/>
          <w:szCs w:val="21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eastAsia="Calibri" w:cs="Times New Roman" w:ascii="Cambria" w:hAnsi="Cambria"/>
          <w:i/>
          <w:color w:val="auto"/>
          <w:kern w:val="0"/>
          <w:sz w:val="21"/>
          <w:szCs w:val="21"/>
          <w:lang w:val="pt-BR" w:eastAsia="en-US" w:bidi="ar-SA"/>
        </w:rPr>
        <w:t>VI</w:t>
      </w:r>
      <w:r>
        <w:rPr>
          <w:rFonts w:eastAsia="Calibri" w:cs="Times New Roman" w:ascii="Cambria" w:hAnsi="Cambria"/>
          <w:i/>
          <w:color w:val="auto"/>
          <w:kern w:val="0"/>
          <w:sz w:val="21"/>
          <w:szCs w:val="21"/>
          <w:lang w:val="pt-BR" w:eastAsia="en-US" w:bidi="ar-SA"/>
        </w:rPr>
        <w:t>II – propor, apreciar e deliberar sobre questionamento a atos já normatizados pelo CAU/BR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eastAsia="Calibri" w:cs="Times New Roman" w:ascii="Cambria" w:hAnsi="Cambria"/>
          <w:i/>
          <w:color w:val="auto"/>
          <w:kern w:val="0"/>
          <w:sz w:val="21"/>
          <w:szCs w:val="21"/>
          <w:lang w:val="pt-BR" w:eastAsia="en-US" w:bidi="ar-SA"/>
        </w:rPr>
        <w:t>a</w:t>
      </w:r>
      <w:r>
        <w:rPr>
          <w:rFonts w:eastAsia="Calibri" w:cs="Times New Roman" w:ascii="Cambria" w:hAnsi="Cambria"/>
          <w:i/>
          <w:color w:val="auto"/>
          <w:kern w:val="0"/>
          <w:sz w:val="21"/>
          <w:szCs w:val="21"/>
          <w:lang w:val="pt-BR" w:eastAsia="en-US" w:bidi="ar-SA"/>
        </w:rPr>
        <w:t>) fiscalização;</w:t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Atender a</w:t>
      </w:r>
      <w:r>
        <w:rPr>
          <w:rFonts w:eastAsia="Calibri" w:cs="Times New Roman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sz w:val="22"/>
          <w:szCs w:val="22"/>
          <w:u w:val="none"/>
          <w:effect w:val="none"/>
          <w:lang w:val="pt-BR" w:eastAsia="en-US" w:bidi="ar-SA"/>
        </w:rPr>
        <w:t xml:space="preserve"> referida deliberação, no que tange à suspensão dos prazos processuais, bem como por informar ao Conselho Diretor sobre a sua aplicabilidade.</w:t>
      </w:r>
    </w:p>
    <w:p>
      <w:pPr>
        <w:pStyle w:val="ListParagraph"/>
        <w:numPr>
          <w:ilvl w:val="0"/>
          <w:numId w:val="0"/>
        </w:numPr>
        <w:ind w:left="821" w:hanging="0"/>
        <w:rPr>
          <w:rFonts w:ascii="Cambria" w:hAnsi="Cambria"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/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0"/>
        <w:gridCol w:w="5316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0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6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LibreOffice/6.3.3.2$Windows_X86_64 LibreOffice_project/a64200df03143b798afd1ec74a12ab50359878ed</Application>
  <Pages>2</Pages>
  <Words>218</Words>
  <Characters>1296</Characters>
  <CharactersWithSpaces>1493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2020-06-17T16:32:33Z</dcterms:modified>
  <cp:revision>17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