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5"/>
        <w:gridCol w:w="7903"/>
      </w:tblGrid>
      <w:tr>
        <w:trPr>
          <w:trHeight w:val="370" w:hRule="atLeast"/>
        </w:trPr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/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Lei Federal 12.378/2010; R</w:t>
            </w:r>
            <w:bookmarkStart w:id="0" w:name="__DdeLink__6025_1679815676"/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91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14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  <w:bookmarkEnd w:id="0"/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; 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Resolução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184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19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Gerência Técnica e de Fiscalização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; Setor de RRT Extemporâneo</w:t>
            </w:r>
          </w:p>
        </w:tc>
      </w:tr>
      <w:tr>
        <w:trPr>
          <w:trHeight w:val="370" w:hRule="atLeast"/>
        </w:trPr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Corpodotexto"/>
              <w:widowControl/>
              <w:suppressLineNumbers/>
              <w:spacing w:lineRule="auto" w:line="276"/>
              <w:rPr>
                <w:rFonts w:ascii="Cambria" w:hAnsi="Cambria" w:eastAsia="Calibri" w:cs="Times New Roman" w:asciiTheme="majorHAnsi" w:hAnsiTheme="majorHAns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1"/>
                <w:szCs w:val="21"/>
                <w:u w:val="none"/>
                <w:effect w:val="none"/>
                <w:lang w:val="pt-BR" w:eastAsia="en-US" w:bidi="ar-SA"/>
              </w:rPr>
            </w:pPr>
            <w:r>
              <w:rPr>
                <w:rFonts w:eastAsia="Calibri" w:cs="Times New Roman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1"/>
                <w:szCs w:val="21"/>
                <w:u w:val="none"/>
                <w:effect w:val="none"/>
                <w:lang w:val="pt-BR" w:eastAsia="en-US" w:bidi="ar-SA"/>
              </w:rPr>
              <w:t>ELABORAÇÃO DE RRT EM PERÍODO DE REGISTRO INTERROMPIDO (RRT 9567591)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4"/>
                <w:szCs w:val="22"/>
                <w:lang w:val="pt-BR" w:eastAsia="en-US" w:bidi="ar-SA"/>
              </w:rPr>
              <w:t>6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bidi w:val="0"/>
        <w:spacing w:lineRule="auto" w:line="276"/>
        <w:ind w:left="1701" w:right="0" w:hanging="0"/>
        <w:jc w:val="both"/>
        <w:rPr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bidi w:val="0"/>
        <w:spacing w:lineRule="auto" w:line="276"/>
        <w:ind w:left="1701" w:right="0" w:hanging="0"/>
        <w:jc w:val="both"/>
        <w:rPr>
          <w:lang w:val="pt-BR"/>
        </w:rPr>
      </w:pPr>
      <w:r>
        <w:rPr>
          <w:rFonts w:eastAsia="Calibri" w:cs="Times New Roman" w:ascii="Cambria" w:hAnsi="Cambria"/>
          <w:i/>
          <w:color w:val="auto"/>
          <w:kern w:val="0"/>
          <w:sz w:val="21"/>
          <w:szCs w:val="21"/>
          <w:lang w:val="pt-BR" w:eastAsia="en-US" w:bidi="ar-SA"/>
        </w:rPr>
        <w:t>[...]</w:t>
      </w:r>
    </w:p>
    <w:p>
      <w:pPr>
        <w:pStyle w:val="Corpodotexto"/>
        <w:widowControl/>
        <w:bidi w:val="0"/>
        <w:spacing w:lineRule="auto" w:line="276"/>
        <w:ind w:left="1701" w:right="0" w:hanging="0"/>
        <w:jc w:val="both"/>
        <w:rPr>
          <w:rFonts w:ascii="Cambria" w:hAnsi="Cambria" w:eastAsia="Calibri" w:cs="Times New Roman"/>
          <w:b w:val="false"/>
          <w:b w:val="false"/>
          <w:i/>
          <w:i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</w:pPr>
      <w:r>
        <w:rPr>
          <w:rFonts w:eastAsia="Calibri" w:cs="Times New Roman" w:ascii="Cambria" w:hAnsi="Cambria"/>
          <w:b w:val="false"/>
          <w:i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  <w:t>VI - cobrar as anuidades, as multas e os Registros de Responsabilidade Técnica; </w:t>
      </w:r>
    </w:p>
    <w:p>
      <w:pPr>
        <w:pStyle w:val="Corpodotexto"/>
        <w:widowControl/>
        <w:bidi w:val="0"/>
        <w:spacing w:lineRule="auto" w:line="276"/>
        <w:ind w:left="1701" w:right="0" w:hanging="0"/>
        <w:jc w:val="both"/>
        <w:rPr>
          <w:rFonts w:ascii="Cambria" w:hAnsi="Cambria" w:eastAsia="Calibri" w:cs="Times New Roman"/>
          <w:b w:val="false"/>
          <w:b w:val="false"/>
          <w:i/>
          <w:i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</w:pPr>
      <w:r>
        <w:rPr>
          <w:rFonts w:eastAsia="Calibri" w:cs="Times New Roman" w:ascii="Cambria" w:hAnsi="Cambria"/>
          <w:b w:val="false"/>
          <w:i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  <w:t>VII - fazer e manter atualizados os registros de direitos autorais, de responsabilidade e os acervos técnicos;</w:t>
      </w:r>
    </w:p>
    <w:p>
      <w:pPr>
        <w:pStyle w:val="Corpodotexto"/>
        <w:widowControl/>
        <w:bidi w:val="0"/>
        <w:spacing w:lineRule="auto" w:line="276"/>
        <w:ind w:left="1701" w:right="0" w:hanging="0"/>
        <w:jc w:val="both"/>
        <w:rPr>
          <w:rFonts w:ascii="Cambria" w:hAnsi="Cambria" w:eastAsia="Calibri" w:cs="Times New Roman"/>
          <w:b w:val="false"/>
          <w:b w:val="false"/>
          <w:i/>
          <w:i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</w:pPr>
      <w:r>
        <w:rPr>
          <w:rFonts w:eastAsia="Calibri" w:cs="Times New Roman" w:ascii="Cambria" w:hAnsi="Cambria"/>
          <w:b w:val="false"/>
          <w:i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  <w:t>VIII - fiscalizar o exercício das atividades profissionais de arquitetura e urbanismo; </w:t>
      </w:r>
    </w:p>
    <w:p>
      <w:pPr>
        <w:pStyle w:val="Normal"/>
        <w:widowControl/>
        <w:bidi w:val="0"/>
        <w:spacing w:lineRule="auto" w:line="276"/>
        <w:ind w:left="1701" w:right="0" w:hanging="0"/>
        <w:jc w:val="both"/>
        <w:rPr>
          <w:rFonts w:ascii="Cambria" w:hAnsi="Cambria" w:eastAsia="Calibri" w:cs="Times New Roman" w:asciiTheme="majorHAnsi" w:hAnsiTheme="majorHAnsi"/>
          <w:i/>
          <w:i/>
          <w:color w:val="auto"/>
          <w:kern w:val="0"/>
          <w:sz w:val="21"/>
          <w:szCs w:val="21"/>
          <w:lang w:val="pt-BR" w:eastAsia="en-US" w:bidi="ar-SA"/>
        </w:rPr>
      </w:pPr>
      <w:r>
        <w:rPr>
          <w:rFonts w:eastAsia="Calibri" w:cs="Times New Roman" w:ascii="Cambria" w:hAnsi="Cambria"/>
          <w:i/>
          <w:color w:val="auto"/>
          <w:kern w:val="0"/>
          <w:sz w:val="21"/>
          <w:szCs w:val="21"/>
          <w:lang w:val="pt-BR" w:eastAsia="en-US" w:bidi="ar-SA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[…]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b) alterações de registros profissionais;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bookmarkStart w:id="1" w:name="__DdeLink__4208_1679815676"/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c</w:t>
      </w:r>
      <w:bookmarkEnd w:id="1"/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) requerimento de Registro de Responsabilidade Técnica (RRT);</w:t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2" w:name="_GoBack"/>
      <w:bookmarkEnd w:id="2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 w:asciiTheme="majorHAnsi" w:hAnsiTheme="majorHAnsi"/>
          <w:color w:val="auto"/>
          <w:kern w:val="0"/>
          <w:sz w:val="22"/>
          <w:szCs w:val="22"/>
          <w:lang w:val="pt-BR" w:eastAsia="en-US" w:bidi="ar-SA"/>
        </w:rPr>
        <w:t xml:space="preserve">Solicitar informações à Gerência Jurídica se podemos exigir a reativação retroativa do registro profissional, uma vez que foi identificada a atuação, bem como qual encaminhamento deverá ser dado para o cumprimento do </w:t>
      </w:r>
      <w:r>
        <w:rPr>
          <w:rFonts w:eastAsia="Calibri" w:cs="Times New Roman" w:ascii="Cambria" w:hAnsi="Cambria" w:asciiTheme="majorHAnsi" w:hAnsiTheme="majorHAnsi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pt-BR" w:eastAsia="en-US" w:bidi="ar-SA"/>
        </w:rPr>
        <w:t>§ 3º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2"/>
          <w:szCs w:val="22"/>
          <w:lang w:val="pt-BR" w:eastAsia="en-US" w:bidi="ar-SA"/>
        </w:rPr>
        <w:t xml:space="preserve"> do artigo 4º da Resolução CAU/BR nº 167/2018.</w:t>
      </w:r>
    </w:p>
    <w:p>
      <w:pPr>
        <w:pStyle w:val="ListParagraph"/>
        <w:ind w:left="720" w:hanging="0"/>
        <w:rPr>
          <w:rFonts w:ascii="Cambria" w:hAnsi="Cambria"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Cambria" w:hAnsi="Cambria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0"/>
        <w:gridCol w:w="5316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LibreOffice/6.3.3.2$Windows_X86_64 LibreOffice_project/a64200df03143b798afd1ec74a12ab50359878ed</Application>
  <Pages>2</Pages>
  <Words>361</Words>
  <Characters>2108</Characters>
  <CharactersWithSpaces>2437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2020-06-17T16:43:10Z</dcterms:modified>
  <cp:revision>22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