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0"/>
        <w:gridCol w:w="7898"/>
      </w:tblGrid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eastAsiaTheme="minorHAnsi"/>
                <w:b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eastAsiaTheme="minorHAnsi" w:ascii="Cambria" w:hAnsi="Cambria"/>
                <w:b/>
                <w:color w:val="auto"/>
                <w:kern w:val="0"/>
                <w:sz w:val="21"/>
                <w:szCs w:val="21"/>
                <w:lang w:val="pt-BR" w:eastAsia="en-US" w:bidi="ar-SA"/>
              </w:rPr>
              <w:t>FISCALIZAÇÃO DE PESSOAS JURÍDICAS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161.3.1.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6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b w:val="false"/>
          <w:b w:val="false"/>
          <w:bCs w:val="false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Considerando a ação ‘</w:t>
      </w:r>
      <w:r>
        <w:rPr>
          <w:rFonts w:eastAsia="Calibri" w:cs="Cambria" w:ascii="Cambria" w:hAnsi="Cambria" w:asciiTheme="majorHAnsi" w:hAnsiTheme="majorHAnsi"/>
          <w:b w:val="false"/>
          <w:bCs w:val="false"/>
          <w:lang w:val="pt-BR"/>
        </w:rPr>
        <w:t>J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’ do item 4.</w:t>
      </w:r>
      <w:r>
        <w:rPr>
          <w:rFonts w:eastAsia="Calibri" w:cs="Cambria" w:ascii="Cambria" w:hAnsi="Cambria" w:asciiTheme="majorHAnsi" w:hAnsiTheme="majorHAnsi"/>
          <w:b w:val="false"/>
          <w:bCs w:val="false"/>
          <w:lang w:val="pt-BR"/>
        </w:rPr>
        <w:t>2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.</w:t>
      </w:r>
      <w:r>
        <w:rPr>
          <w:rFonts w:eastAsia="Calibri" w:cs="Cambria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2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E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ncaminhar à Plenária do CAU/MG, solicitação de revisão da Deliberação Plenária DPOMG 0070.6.12/2017, no que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se refere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à documentação para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comprovação da irregularidade que constitui a infração ao exercício profissional de Ausência de Registro de Pessoa Jurídica, para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instauração do processo de fiscalização, 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conforme estabelecido no Artigo 11, incisos VIII e IX, ite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ns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‘a’, subiten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s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‘vi’, de modo que não seja exigida a apensação de “Documento da JUCEMG contendo a informação do objeto social”, uma vez que a indicação de código da Classificação Nacional de Atividades Econômicas (CNAE ) relacionad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o</w:t>
      </w: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 xml:space="preserve"> à Arquitetura e ao Urbanismo, no Cadastro Nacional da Pessoa Jurídica (CNPJ), é prova suficiente de apresentação como prestadora de serviços no âmbito da Arquitetura e Urbanismo. 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4"/>
        <w:gridCol w:w="5312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LibreOffice/6.3.3.2$Windows_X86_64 LibreOffice_project/a64200df03143b798afd1ec74a12ab50359878ed</Application>
  <Pages>2</Pages>
  <Words>443</Words>
  <Characters>2588</Characters>
  <CharactersWithSpaces>3000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2020-06-17T12:57:45Z</dcterms:modified>
  <cp:revision>13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