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0"/>
        <w:gridCol w:w="7898"/>
      </w:tblGrid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/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/201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do CAU/BR </w:t>
            </w:r>
          </w:p>
        </w:tc>
      </w:tr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/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C</w:t>
            </w: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ONDOMÍNIO VERTICAIS E HORIZONTAIS E ÁREAS DE EXPANSÃO DAS CIDADES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161.3.1.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5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b w:val="false"/>
          <w:b w:val="false"/>
          <w:bCs w:val="false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  <w:t>Considerando a ação ‘</w:t>
      </w:r>
      <w:r>
        <w:rPr>
          <w:rFonts w:eastAsia="Calibri" w:cs="Cambria" w:ascii="Cambria" w:hAnsi="Cambria"/>
          <w:b w:val="false"/>
          <w:bCs w:val="false"/>
          <w:lang w:val="pt-BR"/>
        </w:rPr>
        <w:t>G</w:t>
      </w:r>
      <w:r>
        <w:rPr>
          <w:rFonts w:cs="Times New Roman" w:ascii="Cambria" w:hAnsi="Cambria"/>
          <w:b w:val="false"/>
          <w:bCs w:val="false"/>
          <w:lang w:val="pt-BR"/>
        </w:rPr>
        <w:t>’ do item 4.</w:t>
      </w:r>
      <w:r>
        <w:rPr>
          <w:rFonts w:eastAsia="Calibri" w:cs="Cambria" w:ascii="Cambria" w:hAnsi="Cambria"/>
          <w:b w:val="false"/>
          <w:bCs w:val="false"/>
          <w:lang w:val="pt-BR"/>
        </w:rPr>
        <w:t>2</w:t>
      </w:r>
      <w:r>
        <w:rPr>
          <w:rFonts w:cs="Times New Roman" w:ascii="Cambria" w:hAnsi="Cambria"/>
          <w:b w:val="false"/>
          <w:bCs w:val="false"/>
          <w:lang w:val="pt-BR"/>
        </w:rPr>
        <w:t>.</w:t>
      </w:r>
      <w:r>
        <w:rPr>
          <w:rFonts w:eastAsia="Calibri" w:cs="Cambria" w:ascii="Cambria" w:hAnsi="Cambria"/>
          <w:b w:val="false"/>
          <w:bCs w:val="false"/>
          <w:lang w:val="pt-BR"/>
        </w:rPr>
        <w:t>1</w:t>
      </w:r>
      <w:r>
        <w:rPr>
          <w:rFonts w:cs="Times New Roman" w:ascii="Cambria" w:hAnsi="Cambria"/>
          <w:b w:val="false"/>
          <w:bCs w:val="false"/>
          <w:lang w:val="pt-BR"/>
        </w:rPr>
        <w:t xml:space="preserve"> do Plano de Ações de Fiscalização 2020, aprovado pela Deliberação 156.3.1, desta Comissão de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Solicitar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à Assessoria de Eventos que verifique, junto ao </w:t>
      </w:r>
      <w:r>
        <w:rPr>
          <w:rFonts w:eastAsia="Calibri" w:cs="Times New Roman" w:ascii="Cambria" w:hAnsi="Cambria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pt-BR" w:eastAsia="en-US" w:bidi="ar-SA"/>
        </w:rPr>
        <w:t>Sindicato dos Condom</w:t>
      </w:r>
      <w:r>
        <w:rPr>
          <w:rFonts w:eastAsia="Calibri" w:cs="Times New Roman" w:ascii="Cambria" w:hAnsi="Cambria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pt-BR" w:eastAsia="en-US" w:bidi="ar-SA"/>
        </w:rPr>
        <w:t>í</w:t>
      </w:r>
      <w:r>
        <w:rPr>
          <w:rFonts w:eastAsia="Calibri" w:cs="Times New Roman" w:ascii="Cambria" w:hAnsi="Cambria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pt-BR" w:eastAsia="en-US" w:bidi="ar-SA"/>
        </w:rPr>
        <w:t>nios Comerciais Residenciais e Mistos de Minas Gerais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(</w:t>
      </w:r>
      <w:r>
        <w:rPr>
          <w:rFonts w:eastAsia="Calibri" w:cs="Times New Roman" w:ascii="Cambria" w:hAnsi="Cambria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pt-BR" w:eastAsia="en-US" w:bidi="ar-SA"/>
        </w:rPr>
        <w:t>SINDICON MG)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, se haverá evento, em formato virtual, para o Dia do Síndico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em 2020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, contudo, caso não haja tal previsão, se haveria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interesse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em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firmarmos parceria para realização de evento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conjunto.</w:t>
      </w:r>
    </w:p>
    <w:p>
      <w:pPr>
        <w:pStyle w:val="ListParagraph"/>
        <w:ind w:left="720" w:hanging="0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4"/>
        <w:gridCol w:w="5312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LibreOffice/6.3.3.2$Windows_X86_64 LibreOffice_project/a64200df03143b798afd1ec74a12ab50359878ed</Application>
  <Pages>2</Pages>
  <Words>382</Words>
  <Characters>2233</Characters>
  <CharactersWithSpaces>2584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2020-06-17T12:45:50Z</dcterms:modified>
  <cp:revision>13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