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elha1"/>
        <w:tblW w:w="96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39"/>
        <w:gridCol w:w="7899"/>
      </w:tblGrid>
      <w:tr>
        <w:trPr>
          <w:trHeight w:val="370" w:hRule="atLeast"/>
        </w:trPr>
        <w:tc>
          <w:tcPr>
            <w:tcW w:w="1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referÊncias:</w:t>
            </w:r>
          </w:p>
        </w:tc>
        <w:tc>
          <w:tcPr>
            <w:tcW w:w="7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Lei Federal 12.378/2010; Resolução 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22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/20</w:t>
            </w:r>
            <w:r>
              <w:rPr>
                <w:rFonts w:eastAsia="Calibri" w:cs="Times New Roman" w:ascii="Cambria" w:hAnsi="Cambria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  <w:t>12</w:t>
            </w: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 xml:space="preserve"> do CAU/BR </w:t>
            </w:r>
          </w:p>
        </w:tc>
      </w:tr>
      <w:tr>
        <w:trPr>
          <w:trHeight w:val="370" w:hRule="atLeast"/>
        </w:trPr>
        <w:tc>
          <w:tcPr>
            <w:tcW w:w="1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INTERESSADOS:</w:t>
            </w:r>
          </w:p>
        </w:tc>
        <w:tc>
          <w:tcPr>
            <w:tcW w:w="7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eastAsia="Calibri" w:cs="Times New Roman" w:asciiTheme="majorHAnsi" w:hAnsiTheme="majorHAnsi"/>
                <w:color w:val="auto"/>
                <w:kern w:val="0"/>
                <w:sz w:val="21"/>
                <w:szCs w:val="21"/>
                <w:lang w:val="pt-BR" w:eastAsia="en-US" w:bidi="ar-SA"/>
              </w:rPr>
            </w:pPr>
            <w:r>
              <w:rPr>
                <w:rFonts w:eastAsia="Calibri" w:cs="Times New Roman" w:ascii="Cambria" w:hAnsi="Cambria"/>
                <w:color w:val="auto"/>
                <w:kern w:val="0"/>
                <w:sz w:val="21"/>
                <w:szCs w:val="21"/>
                <w:lang w:val="pt-BR" w:eastAsia="en-US" w:bidi="ar-SA"/>
              </w:rPr>
              <w:t>Gerência Técnica e de Fiscalização</w:t>
            </w:r>
          </w:p>
        </w:tc>
      </w:tr>
      <w:tr>
        <w:trPr>
          <w:trHeight w:val="370" w:hRule="atLeast"/>
        </w:trPr>
        <w:tc>
          <w:tcPr>
            <w:tcW w:w="173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uppressLineNumbers/>
              <w:jc w:val="right"/>
              <w:rPr>
                <w:rFonts w:ascii="Cambria" w:hAnsi="Cambria" w:cs="Times New Roman" w:asciiTheme="majorHAnsi" w:hAnsiTheme="majorHAnsi"/>
                <w:caps/>
                <w:sz w:val="21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caps/>
                <w:sz w:val="21"/>
                <w:szCs w:val="21"/>
                <w:lang w:val="pt-BR"/>
              </w:rPr>
              <w:t>Assunto:</w:t>
            </w:r>
          </w:p>
        </w:tc>
        <w:tc>
          <w:tcPr>
            <w:tcW w:w="78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/>
              <w:suppressLineNumbers/>
              <w:rPr>
                <w:lang w:val="pt-BR"/>
              </w:rPr>
            </w:pPr>
            <w:r>
              <w:rPr>
                <w:rFonts w:cs="Times New Roman" w:ascii="Cambria" w:hAnsi="Cambria"/>
                <w:b/>
                <w:sz w:val="21"/>
                <w:szCs w:val="21"/>
                <w:lang w:val="pt-BR"/>
              </w:rPr>
              <w:t>AÇÃO EDUCATIVA EM INSTITUIÇÕES DE ENSINO DE ARQUITETURA E URBANISMO</w:t>
            </w:r>
          </w:p>
        </w:tc>
      </w:tr>
      <w:tr>
        <w:trPr>
          <w:trHeight w:val="90" w:hRule="atLeast"/>
        </w:trPr>
        <w:tc>
          <w:tcPr>
            <w:tcW w:w="96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uppressLineNumbers/>
              <w:rPr>
                <w:rFonts w:ascii="Cambria" w:hAnsi="Cambria" w:cs="Times New Roman" w:asciiTheme="majorHAnsi" w:hAnsiTheme="majorHAnsi"/>
                <w:sz w:val="10"/>
                <w:szCs w:val="10"/>
                <w:lang w:val="pt-BR"/>
              </w:rPr>
            </w:pPr>
            <w:r>
              <w:rPr>
                <w:rFonts w:cs="Times New Roman" w:ascii="Cambria" w:hAnsi="Cambria"/>
                <w:sz w:val="10"/>
                <w:szCs w:val="10"/>
                <w:lang w:val="pt-BR"/>
              </w:rPr>
            </w:r>
          </w:p>
        </w:tc>
      </w:tr>
      <w:tr>
        <w:trPr>
          <w:trHeight w:val="340" w:hRule="atLeast"/>
        </w:trPr>
        <w:tc>
          <w:tcPr>
            <w:tcW w:w="963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6A6A6" w:themeFill="background1" w:themeFillShade="a6" w:val="clear"/>
            <w:vAlign w:val="center"/>
          </w:tcPr>
          <w:p>
            <w:pPr>
              <w:pStyle w:val="Normal"/>
              <w:suppressLineNumbers/>
              <w:jc w:val="center"/>
              <w:rPr>
                <w:lang w:val="pt-BR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DELIBERAÇÃO Nº 161.3.1.</w:t>
            </w:r>
            <w:r>
              <w:rPr>
                <w:rFonts w:eastAsia="Calibri" w:cs="Times New Roman" w:ascii="Cambria" w:hAnsi="Cambria" w:asciiTheme="majorHAnsi" w:hAnsiTheme="majorHAnsi"/>
                <w:b/>
                <w:color w:val="auto"/>
                <w:kern w:val="0"/>
                <w:sz w:val="24"/>
                <w:szCs w:val="22"/>
                <w:lang w:val="pt-BR" w:eastAsia="en-US" w:bidi="ar-SA"/>
              </w:rPr>
              <w:t>3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 xml:space="preserve">/2020 </w:t>
            </w:r>
            <w:r>
              <w:rPr>
                <w:rFonts w:cs="Times New Roman"/>
                <w:b/>
                <w:sz w:val="24"/>
                <w:lang w:val="pt-BR"/>
              </w:rPr>
              <w:t xml:space="preserve">– </w:t>
            </w:r>
            <w:r>
              <w:rPr>
                <w:rFonts w:cs="Times New Roman" w:ascii="Cambria" w:hAnsi="Cambria" w:asciiTheme="majorHAnsi" w:hAnsiTheme="majorHAnsi"/>
                <w:b/>
                <w:sz w:val="24"/>
                <w:lang w:val="pt-BR"/>
              </w:rPr>
              <w:t>CEP-CAU/MG</w:t>
            </w:r>
          </w:p>
        </w:tc>
      </w:tr>
    </w:tbl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A COMISSÃO DE EXERCÍCIO PROFISSIONAL – CEP-CAU/MG, reunida ordinariamente em ambiente virtual, através de videoconferência, no dia 16 de junho de 2020, após análise do assunto em epígrafe, no uso das competências que lhe conferem o Regimento Interno do CAU/MG, e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versado na Lei Federal 12.378/2010: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34. Compete aos CAUs: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VIII – fiscalizar o exercício das atividades profissionais de arquitetura e urbanismo;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IX – julgar em primeira instância os processos disciplinares, na forma que determinar o Regimento Geral do CAU/BR;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as competências da Comissão de Exercício Profissional, definidas pelo Regimento Geral do CAU, aprovado pela Resolução CAU/BR 139/2017: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Art. 104. Para cumprir a finalidade de zelar pela orientação e fiscalização do exercício da Arquitetura e Urbanismo, deverão ser exercidas as competências referentes a: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III - fiscalização do exercício profissional da Arquitetura e Urbanismo;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 - uniformização de ações no âmbito das comissões que tratam de exercício profissional;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XVII - apuração de irregularidades e responsabilidades, relacionadas aos aspectos de exercício profissional, no âmbito de suas competências;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lang w:val="pt-BR"/>
        </w:rPr>
        <w:t>Considerando o Art. 96 do</w:t>
      </w:r>
      <w:r>
        <w:rPr>
          <w:lang w:val="pt-BR"/>
        </w:rPr>
        <w:t xml:space="preserve"> </w:t>
      </w:r>
      <w:r>
        <w:rPr>
          <w:rFonts w:cs="Times New Roman" w:ascii="Cambria" w:hAnsi="Cambria" w:asciiTheme="majorHAnsi" w:hAnsiTheme="majorHAnsi"/>
          <w:lang w:val="pt-BR"/>
        </w:rPr>
        <w:t>Regimento Interno do CAU/MG: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IV - propor, apreciar e deliberar sobre o Plano de Fiscalização do CAU/MG, conforme diretrizes do Plano Nacional de Fiscalização do CAU;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rFonts w:ascii="Cambria" w:hAnsi="Cambria" w:cs="Times New Roman" w:asciiTheme="majorHAnsi" w:hAnsiTheme="majorHAnsi"/>
          <w:i/>
          <w:i/>
          <w:sz w:val="21"/>
          <w:szCs w:val="21"/>
          <w:lang w:val="pt-BR"/>
        </w:rPr>
      </w:pPr>
      <w:r>
        <w:rPr>
          <w:rFonts w:cs="Times New Roman" w:ascii="Cambria" w:hAnsi="Cambria"/>
          <w:i/>
          <w:sz w:val="21"/>
          <w:szCs w:val="21"/>
          <w:lang w:val="pt-BR"/>
        </w:rPr>
        <w:t>[...]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/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VII - propor, apreciar e deliberar, em consonância com os atos já normatizados pelo CAU/BR, sobre:</w:t>
      </w:r>
    </w:p>
    <w:p>
      <w:pPr>
        <w:pStyle w:val="Normal"/>
        <w:widowControl/>
        <w:suppressLineNumbers/>
        <w:spacing w:lineRule="auto" w:line="276"/>
        <w:ind w:left="1701" w:hanging="0"/>
        <w:jc w:val="both"/>
        <w:rPr>
          <w:b w:val="false"/>
          <w:b w:val="false"/>
          <w:bCs w:val="false"/>
        </w:rPr>
      </w:pPr>
      <w:r>
        <w:rPr>
          <w:rFonts w:cs="Times New Roman" w:ascii="Cambria" w:hAnsi="Cambria" w:asciiTheme="majorHAnsi" w:hAnsiTheme="majorHAnsi"/>
          <w:i/>
          <w:sz w:val="21"/>
          <w:szCs w:val="21"/>
          <w:lang w:val="pt-BR"/>
        </w:rPr>
        <w:t>a) ações de fiscalização;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>Considerando a ação ‘</w:t>
      </w:r>
      <w:r>
        <w:rPr>
          <w:rFonts w:eastAsia="Calibri" w:cs="Times New Roman" w:ascii="Cambria" w:hAnsi="Cambria" w:asciiTheme="majorHAnsi" w:hAnsiTheme="majorHAnsi"/>
          <w:b w:val="false"/>
          <w:bCs w:val="false"/>
          <w:color w:val="auto"/>
          <w:kern w:val="0"/>
          <w:sz w:val="22"/>
          <w:szCs w:val="22"/>
          <w:lang w:val="pt-BR" w:eastAsia="en-US" w:bidi="ar-SA"/>
        </w:rPr>
        <w:t>D</w:t>
      </w: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>’ do item 4.1.</w:t>
      </w:r>
      <w:r>
        <w:rPr>
          <w:rFonts w:eastAsia="Calibri" w:cs="Cambria" w:ascii="Cambria" w:hAnsi="Cambria" w:asciiTheme="majorHAnsi" w:hAnsiTheme="majorHAnsi"/>
          <w:b w:val="false"/>
          <w:bCs w:val="false"/>
          <w:lang w:val="pt-BR"/>
        </w:rPr>
        <w:t>2</w:t>
      </w:r>
      <w:r>
        <w:rPr>
          <w:rFonts w:cs="Times New Roman" w:ascii="Cambria" w:hAnsi="Cambria" w:asciiTheme="majorHAnsi" w:hAnsiTheme="majorHAnsi"/>
          <w:b w:val="false"/>
          <w:bCs w:val="false"/>
          <w:lang w:val="pt-BR"/>
        </w:rPr>
        <w:t xml:space="preserve"> do Plano de Ações de Fiscalização 2020, aprovado pela Deliberação 156.3.1, desta Comissão de Exercício Profissional;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/>
      </w:pPr>
      <w:r>
        <w:rPr>
          <w:rFonts w:cs="Times New Roman" w:ascii="Cambria" w:hAnsi="Cambria" w:asciiTheme="majorHAnsi" w:hAnsiTheme="majorHAnsi"/>
          <w:b w:val="false"/>
          <w:bCs w:val="false"/>
          <w:sz w:val="21"/>
          <w:szCs w:val="21"/>
          <w:lang w:val="pt-BR"/>
        </w:rPr>
        <w:t xml:space="preserve">Considerando a </w:t>
      </w:r>
      <w:r>
        <w:rPr>
          <w:rFonts w:eastAsia="Calibri" w:cs="Cambria" w:ascii="Cambria" w:hAnsi="Cambria"/>
          <w:lang w:val="pt-BR"/>
        </w:rPr>
        <w:t>Deliberação n° 1</w:t>
      </w:r>
      <w:r>
        <w:rPr>
          <w:rFonts w:eastAsia="Calibri" w:cs="Cambria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18.8</w:t>
      </w:r>
      <w:r>
        <w:rPr>
          <w:rFonts w:eastAsia="Calibri" w:cs="Cambria" w:ascii="Cambria" w:hAnsi="Cambria"/>
          <w:lang w:val="pt-BR"/>
        </w:rPr>
        <w:t xml:space="preserve">.3/2017-CEP-CAU/MG, de </w:t>
      </w:r>
      <w:r>
        <w:rPr>
          <w:rFonts w:eastAsia="Calibri" w:cs="Cambria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23</w:t>
      </w:r>
      <w:r>
        <w:rPr>
          <w:rFonts w:eastAsia="Calibri" w:cs="Cambria" w:ascii="Cambria" w:hAnsi="Cambria"/>
          <w:lang w:val="pt-BR"/>
        </w:rPr>
        <w:t xml:space="preserve"> de </w:t>
      </w:r>
      <w:r>
        <w:rPr>
          <w:rFonts w:eastAsia="Calibri" w:cs="Cambria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outubro</w:t>
      </w:r>
      <w:r>
        <w:rPr>
          <w:rFonts w:eastAsia="Calibri" w:cs="Cambria" w:ascii="Cambria" w:hAnsi="Cambria"/>
          <w:lang w:val="pt-BR"/>
        </w:rPr>
        <w:t xml:space="preserve"> de 2017;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 w:val="false"/>
          <w:b w:val="false"/>
          <w:bCs w:val="false"/>
          <w:lang w:val="pt-BR"/>
        </w:rPr>
      </w:pPr>
      <w:r>
        <w:rPr>
          <w:rFonts w:cs="Times New Roman" w:ascii="Cambria" w:hAnsi="Cambria"/>
          <w:b w:val="false"/>
          <w:bCs w:val="false"/>
          <w:lang w:val="pt-BR"/>
        </w:rPr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  <w:r>
        <w:br w:type="page"/>
      </w:r>
    </w:p>
    <w:p>
      <w:pPr>
        <w:pStyle w:val="Normal"/>
        <w:widowControl/>
        <w:suppressLineNumbers/>
        <w:spacing w:lineRule="auto" w:line="276"/>
        <w:jc w:val="both"/>
        <w:rPr/>
      </w:pPr>
      <w:bookmarkStart w:id="0" w:name="_GoBack"/>
      <w:bookmarkEnd w:id="0"/>
      <w:r>
        <w:rPr>
          <w:rFonts w:cs="Times New Roman" w:ascii="Cambria" w:hAnsi="Cambria" w:asciiTheme="majorHAnsi" w:hAnsiTheme="majorHAnsi"/>
          <w:b/>
          <w:lang w:val="pt-BR"/>
        </w:rPr>
        <w:t>DELIBERA</w:t>
      </w:r>
    </w:p>
    <w:p>
      <w:pPr>
        <w:pStyle w:val="Normal"/>
        <w:widowControl/>
        <w:suppressLineNumbers/>
        <w:spacing w:lineRule="auto" w:line="276"/>
        <w:jc w:val="both"/>
        <w:rPr>
          <w:rFonts w:ascii="Cambria" w:hAnsi="Cambria" w:cs="Times New Roman" w:asciiTheme="majorHAnsi" w:hAnsiTheme="majorHAnsi"/>
          <w:b/>
          <w:b/>
          <w:lang w:val="pt-BR"/>
        </w:rPr>
      </w:pPr>
      <w:r>
        <w:rPr>
          <w:rFonts w:cs="Times New Roman" w:ascii="Cambria" w:hAnsi="Cambria"/>
          <w:b/>
          <w:lang w:val="pt-BR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Solicitar à Gerência Jurídica todos os documentos elaborados – pareceres, memorandos e notas jurídicas – principalmente o Memorando GERJUR nº 50/2017, relacionados à fiscalização do exercício profissional de arquitetos e urbanistas docentes em instituições de ensino superior de Arquitetura e Urbanismo.</w:t>
      </w:r>
    </w:p>
    <w:p>
      <w:pPr>
        <w:pStyle w:val="ListParagraph"/>
        <w:numPr>
          <w:ilvl w:val="0"/>
          <w:numId w:val="0"/>
        </w:numPr>
        <w:ind w:left="821" w:hanging="0"/>
        <w:rPr>
          <w:rFonts w:ascii="Cambria" w:hAnsi="Cambria"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Cambria" w:hAnsi="Cambria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eastAsia="Calibri" w:cs="Times New Roman" w:ascii="Cambria" w:hAnsi="Cambria" w:eastAsiaTheme="minorHAnsi"/>
          <w:color w:val="auto"/>
          <w:kern w:val="0"/>
          <w:sz w:val="22"/>
          <w:szCs w:val="22"/>
          <w:lang w:val="pt-BR" w:eastAsia="en-US" w:bidi="ar-SA"/>
        </w:rPr>
        <w:t>Encaminhar à CEF-CAU/MG, após o envio da documentação pela Gerência Jurídica, o ofício  elaborada pela Comissão, bem como os demais documentos encaminhados pela referida gerência, para análise e considerações no prazo de 45 dias do recebimento da deliberação.</w:t>
      </w:r>
    </w:p>
    <w:p>
      <w:pPr>
        <w:pStyle w:val="ListParagraph"/>
        <w:ind w:left="720" w:hanging="0"/>
        <w:rPr>
          <w:rFonts w:ascii="Cambria" w:hAnsi="Cambria" w:eastAsia="Calibri" w:cs="Times New Roman" w:eastAsiaTheme="minorHAnsi"/>
          <w:color w:val="auto"/>
          <w:kern w:val="0"/>
          <w:sz w:val="22"/>
          <w:szCs w:val="22"/>
          <w:lang w:val="pt-BR" w:eastAsia="en-US" w:bidi="ar-SA"/>
        </w:rPr>
      </w:pPr>
      <w:r>
        <w:rPr>
          <w:rFonts w:eastAsia="Calibri" w:cs="Times New Roman" w:eastAsiaTheme="minorHAnsi" w:ascii="Cambria" w:hAnsi="Cambria"/>
          <w:color w:val="auto"/>
          <w:kern w:val="0"/>
          <w:sz w:val="22"/>
          <w:szCs w:val="22"/>
          <w:lang w:val="pt-BR" w:eastAsia="en-US" w:bidi="ar-SA"/>
        </w:rPr>
      </w:r>
    </w:p>
    <w:p>
      <w:pPr>
        <w:pStyle w:val="Normal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ListParagraph"/>
        <w:widowControl/>
        <w:spacing w:lineRule="auto" w:line="276"/>
        <w:ind w:left="720" w:hanging="0"/>
        <w:jc w:val="right"/>
        <w:rPr/>
      </w:pPr>
      <w:r>
        <w:rPr>
          <w:rFonts w:cs="Times New Roman" w:ascii="Cambria" w:hAnsi="Cambria" w:asciiTheme="majorHAnsi" w:hAnsiTheme="majorHAnsi"/>
          <w:lang w:val="pt-BR"/>
        </w:rPr>
        <w:t xml:space="preserve">Belo Horizonte, 16 de junho de 2020. </w:t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p>
      <w:pPr>
        <w:pStyle w:val="Normal"/>
        <w:widowControl/>
        <w:spacing w:lineRule="auto" w:line="276"/>
        <w:rPr>
          <w:rFonts w:ascii="Cambria" w:hAnsi="Cambria" w:cs="Times New Roman" w:asciiTheme="majorHAnsi" w:hAnsiTheme="majorHAnsi"/>
          <w:lang w:val="pt-BR"/>
        </w:rPr>
      </w:pPr>
      <w:r>
        <w:rPr>
          <w:rFonts w:cs="Times New Roman" w:ascii="Cambria" w:hAnsi="Cambria"/>
          <w:lang w:val="pt-BR"/>
        </w:rPr>
      </w:r>
    </w:p>
    <w:tbl>
      <w:tblPr>
        <w:tblStyle w:val="Tabelacomgrelha1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33"/>
        <w:gridCol w:w="5313"/>
      </w:tblGrid>
      <w:tr>
        <w:trPr>
          <w:trHeight w:val="539" w:hRule="atLeast"/>
        </w:trPr>
        <w:tc>
          <w:tcPr>
            <w:tcW w:w="9746" w:type="dxa"/>
            <w:gridSpan w:val="2"/>
            <w:tcBorders/>
            <w:shd w:color="auto" w:fill="BFBFBF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Cs w:val="20"/>
                <w:lang w:val="pt-BR"/>
              </w:rPr>
              <w:t>COMISSÃO DE EXERCÍCIO PROFISSIONAL DO CAU/MG – VOTAÇÃO</w:t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CONSELHEIRO(A) ESTADUAL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jc w:val="center"/>
              <w:rPr>
                <w:rFonts w:ascii="Cambria" w:hAnsi="Cambria" w:cs="Times New Roman" w:asciiTheme="majorHAnsi" w:hAnsiTheme="majorHAnsi"/>
                <w:b/>
                <w:b/>
                <w:sz w:val="20"/>
                <w:szCs w:val="20"/>
              </w:rPr>
            </w:pPr>
            <w:r>
              <w:rPr>
                <w:rFonts w:cs="Times New Roman" w:ascii="Cambria" w:hAnsi="Cambria" w:asciiTheme="majorHAnsi" w:hAnsiTheme="majorHAnsi"/>
                <w:b/>
                <w:sz w:val="20"/>
                <w:szCs w:val="20"/>
                <w:lang w:val="pt-BR"/>
              </w:rPr>
              <w:t>ASSINATURA</w:t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Ademir Nogueira de Ávila</w:t>
            </w:r>
            <w:r>
              <w:rPr>
                <w:rFonts w:cs="Times New Roman" w:ascii="Cambria" w:hAnsi="Cambria" w:asciiTheme="majorHAnsi" w:hAnsiTheme="majorHAnsi"/>
                <w:sz w:val="18"/>
                <w:szCs w:val="21"/>
                <w:lang w:val="pt-BR"/>
              </w:rPr>
              <w:t xml:space="preserve"> -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21"/>
                <w:lang w:val="pt-BR"/>
              </w:rPr>
              <w:t>Coordenador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18"/>
                <w:szCs w:val="17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[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7"/>
                <w:lang w:val="pt-BR"/>
              </w:rPr>
              <w:t>vago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]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 xml:space="preserve">Maria Edwiges Sobreira Leal </w:t>
            </w:r>
            <w:r>
              <w:rPr>
                <w:rFonts w:cs="Times New Roman" w:ascii="Cambria" w:hAnsi="Cambria" w:asciiTheme="majorHAnsi" w:hAnsiTheme="majorHAnsi"/>
                <w:i/>
                <w:sz w:val="18"/>
                <w:szCs w:val="18"/>
                <w:lang w:val="pt-BR"/>
              </w:rPr>
              <w:t>Coord. Adjunta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Patricia Elizabeth Ferreira Gomes Barbosa (S)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i/>
                <w:i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1"/>
                <w:szCs w:val="21"/>
                <w:lang w:val="pt-BR"/>
              </w:rPr>
              <w:t>Ariel Luis Lazzarin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1"/>
                <w:szCs w:val="21"/>
              </w:rPr>
            </w:pPr>
            <w:r>
              <w:rPr>
                <w:rFonts w:eastAsia="Wingdings" w:cs="Wingdings" w:ascii="Wingdings" w:hAnsi="Wingdings"/>
                <w:sz w:val="19"/>
                <w:szCs w:val="19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 xml:space="preserve">  </w:t>
            </w:r>
            <w:r>
              <w:rPr>
                <w:rFonts w:cs="Times New Roman" w:ascii="Cambria" w:hAnsi="Cambria" w:asciiTheme="majorHAnsi" w:hAnsiTheme="majorHAnsi"/>
                <w:sz w:val="19"/>
                <w:szCs w:val="19"/>
                <w:lang w:val="pt-BR"/>
              </w:rPr>
              <w:t>Marcondes Nunes de Freitas (S)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  <w:tr>
        <w:trPr>
          <w:trHeight w:val="539" w:hRule="atLeast"/>
        </w:trPr>
        <w:tc>
          <w:tcPr>
            <w:tcW w:w="443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cs="Times New Roman" w:ascii="Cambria" w:hAnsi="Cambria" w:asciiTheme="majorHAnsi" w:hAnsiTheme="majorHAnsi"/>
                <w:sz w:val="20"/>
                <w:szCs w:val="21"/>
                <w:lang w:val="pt-BR"/>
              </w:rPr>
              <w:t>Fábio Almeida Vieira</w:t>
            </w:r>
          </w:p>
          <w:p>
            <w:pPr>
              <w:pStyle w:val="Normal"/>
              <w:widowControl/>
              <w:spacing w:lineRule="auto" w:line="276"/>
              <w:rPr>
                <w:rFonts w:ascii="Cambria" w:hAnsi="Cambria" w:cs="Times New Roman" w:asciiTheme="majorHAnsi" w:hAnsiTheme="majorHAnsi"/>
                <w:sz w:val="20"/>
                <w:szCs w:val="21"/>
              </w:rPr>
            </w:pPr>
            <w:r>
              <w:rPr>
                <w:rFonts w:eastAsia="Wingdings" w:cs="Wingdings" w:ascii="Wingdings" w:hAnsi="Wingdings"/>
                <w:sz w:val="18"/>
                <w:szCs w:val="17"/>
                <w:lang w:val="pt-BR"/>
              </w:rPr>
              <w:t>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 xml:space="preserve"> </w:t>
            </w:r>
            <w:r>
              <w:rPr>
                <w:rFonts w:cs="Times New Roman" w:ascii="Cambria" w:hAnsi="Cambria" w:asciiTheme="majorHAnsi" w:hAnsiTheme="majorHAnsi"/>
                <w:sz w:val="18"/>
                <w:szCs w:val="17"/>
                <w:lang w:val="pt-BR"/>
              </w:rPr>
              <w:t>Regina Coeli Gouveia Varella (S)</w:t>
            </w:r>
          </w:p>
        </w:tc>
        <w:tc>
          <w:tcPr>
            <w:tcW w:w="5313" w:type="dxa"/>
            <w:tcBorders/>
            <w:shd w:color="auto" w:fill="auto" w:val="clear"/>
            <w:vAlign w:val="center"/>
          </w:tcPr>
          <w:p>
            <w:pPr>
              <w:pStyle w:val="Normal"/>
              <w:widowControl/>
              <w:spacing w:lineRule="auto" w:line="276"/>
              <w:jc w:val="center"/>
              <w:rPr>
                <w:rFonts w:ascii="Cambria" w:hAnsi="Cambria" w:cs="Times New Roman" w:asciiTheme="majorHAnsi" w:hAnsiTheme="majorHAnsi"/>
                <w:sz w:val="20"/>
                <w:szCs w:val="20"/>
                <w:lang w:val="pt-BR"/>
              </w:rPr>
            </w:pPr>
            <w:r>
              <w:rPr>
                <w:rFonts w:cs="Times New Roman" w:ascii="Cambria" w:hAnsi="Cambria"/>
                <w:sz w:val="20"/>
                <w:szCs w:val="20"/>
                <w:lang w:val="pt-BR"/>
              </w:rPr>
            </w:r>
          </w:p>
        </w:tc>
      </w:tr>
    </w:tbl>
    <w:p>
      <w:pPr>
        <w:pStyle w:val="ListParagraph"/>
        <w:widowControl/>
        <w:suppressLineNumbers/>
        <w:spacing w:before="0" w:after="160"/>
        <w:ind w:left="1080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20" w:top="1418" w:footer="720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0" b="0"/>
          <wp:wrapNone/>
          <wp:docPr id="2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60310" cy="902335"/>
          <wp:effectExtent l="0" t="0" r="0" b="0"/>
          <wp:wrapNone/>
          <wp:docPr id="1" name="Imagem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f535c9"/>
    <w:pPr>
      <w:widowControl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Ttulo1">
    <w:name w:val="Heading 1"/>
    <w:basedOn w:val="Normal"/>
    <w:uiPriority w:val="1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 w:hanging="0"/>
      <w:jc w:val="center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qFormat/>
    <w:rsid w:val="005c366a"/>
    <w:rPr>
      <w:color w:val="80808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Calibri" w:hAnsi="Calibri" w:eastAsia="Calibri" w:cs="Calibri" w:asciiTheme="minorHAnsi" w:eastAsiaTheme="minorHAnsi" w:hAnsiTheme="minorHAnsi"/>
      <w:color w:val="auto"/>
      <w:kern w:val="0"/>
      <w:sz w:val="20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comgrade2">
    <w:name w:val="Tabela com grade2"/>
    <w:basedOn w:val="Tabelanormal"/>
    <w:uiPriority w:val="39"/>
    <w:rsid w:val="00113ce6"/>
    <w:rPr>
      <w:lang w:val="pt-BR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C67AA-F6A5-4754-8EF1-5B8187A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LibreOffice/6.3.3.2$Windows_X86_64 LibreOffice_project/a64200df03143b798afd1ec74a12ab50359878ed</Application>
  <Pages>2</Pages>
  <Words>421</Words>
  <Characters>2508</Characters>
  <CharactersWithSpaces>2897</CharactersWithSpaces>
  <Paragraphs>43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2020-03-25T20:51:00Z</dcterms:created>
  <dc:creator>camila.goncalves</dc:creator>
  <dc:description/>
  <cp:keywords>Proposta de Deliberação Plenária cobrança administrativa judicial e divida ativa ultima versão 26112014</cp:keywords>
  <dc:language>pt-BR</dc:language>
  <cp:lastModifiedBy/>
  <cp:lastPrinted>2018-01-25T16:29:00Z</cp:lastPrinted>
  <dcterms:modified xsi:type="dcterms:W3CDTF">2020-06-17T12:37:17Z</dcterms:modified>
  <cp:revision>14</cp:revision>
  <dc:subject>Proposta de Deliberação Plenária cobrança administrativa judicial e divida ativa ultima versão 26112014</dc:subject>
  <dc:title>Proposta de Deliberação Plenária cobrança administrativa judicial e divida ativa ultima versão 26112014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2016-05-03T00:00:00Z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