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7"/>
        <w:gridCol w:w="7901"/>
      </w:tblGrid>
      <w:tr>
        <w:trPr>
          <w:trHeight w:val="370" w:hRule="atLeast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Comissão de Exercício Profissional</w:t>
            </w:r>
          </w:p>
        </w:tc>
      </w:tr>
      <w:tr>
        <w:trPr>
          <w:trHeight w:val="370" w:hRule="atLeast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/>
                <w:b/>
                <w:sz w:val="21"/>
                <w:szCs w:val="21"/>
                <w:lang w:val="pt-BR"/>
              </w:rPr>
              <w:t>NOMEAÇÃO DE RELATOR PARA PARECER EM PROCESSO DE FISCALIZAÇÃO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4"/>
                <w:szCs w:val="22"/>
                <w:lang w:val="pt-BR" w:eastAsia="en-US" w:bidi="ar-SA"/>
              </w:rPr>
              <w:t>2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>
          <w:sz w:val="21"/>
          <w:szCs w:val="21"/>
        </w:rPr>
      </w:pPr>
      <w:r>
        <w:rPr>
          <w:rFonts w:cs="Times New Roman" w:ascii="Cambria" w:hAnsi="Cambria" w:asciiTheme="majorHAnsi" w:hAnsiTheme="majorHAnsi"/>
          <w:sz w:val="21"/>
          <w:szCs w:val="21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sz w:val="21"/>
          <w:szCs w:val="21"/>
          <w:lang w:val="pt-BR"/>
        </w:rPr>
      </w:pPr>
      <w:r>
        <w:rPr>
          <w:rFonts w:cs="Times New Roman" w:ascii="Cambria" w:hAnsi="Cambria"/>
          <w:sz w:val="21"/>
          <w:szCs w:val="21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>
          <w:sz w:val="21"/>
          <w:szCs w:val="21"/>
        </w:rPr>
      </w:pPr>
      <w:r>
        <w:rPr>
          <w:rFonts w:cs="Times New Roman" w:ascii="Cambria" w:hAnsi="Cambria" w:asciiTheme="majorHAnsi" w:hAnsiTheme="majorHAnsi"/>
          <w:sz w:val="21"/>
          <w:szCs w:val="21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sz w:val="21"/>
          <w:szCs w:val="21"/>
        </w:rPr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sz w:val="21"/>
          <w:szCs w:val="21"/>
        </w:rPr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sz w:val="21"/>
          <w:szCs w:val="21"/>
        </w:rPr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/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eastAsia="Calibri" w:cs="Times New Roman" w:asciiTheme="majorHAnsi" w:hAnsiTheme="majorHAnsi"/>
          <w:i/>
          <w:i/>
          <w:color w:val="auto"/>
          <w:kern w:val="0"/>
          <w:sz w:val="21"/>
          <w:szCs w:val="21"/>
          <w:lang w:val="pt-BR" w:eastAsia="en-US" w:bidi="ar-SA"/>
        </w:rPr>
      </w:pPr>
      <w:r>
        <w:rPr>
          <w:rFonts w:eastAsia="Calibri" w:cs="Times New Roman" w:ascii="Cambria" w:hAnsi="Cambria"/>
          <w:i/>
          <w:color w:val="auto"/>
          <w:kern w:val="0"/>
          <w:sz w:val="21"/>
          <w:szCs w:val="21"/>
          <w:lang w:val="pt-BR" w:eastAsia="en-US" w:bidi="ar-SA"/>
        </w:rPr>
        <w:t>VI – instruir, apreciar e deliberar sobre julgamento, em primeira instância, de autuação lavrada em processos de fiscalização do exercício profissional;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sz w:val="21"/>
          <w:szCs w:val="21"/>
          <w:lang w:val="pt-BR"/>
        </w:rPr>
      </w:pPr>
      <w:r>
        <w:rPr>
          <w:rFonts w:cs="Times New Roman" w:ascii="Cambria" w:hAnsi="Cambria"/>
          <w:sz w:val="21"/>
          <w:szCs w:val="21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sz w:val="21"/>
          <w:szCs w:val="21"/>
          <w:lang w:val="pt-BR"/>
        </w:rPr>
        <w:t>Considerand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1"/>
          <w:szCs w:val="21"/>
          <w:lang w:val="pt-BR" w:eastAsia="en-US" w:bidi="ar-SA"/>
        </w:rPr>
        <w:t xml:space="preserve">o o </w:t>
      </w:r>
      <w:r>
        <w:rPr>
          <w:rFonts w:eastAsia="Calibri" w:cs="Times New Roman" w:ascii="Cambria" w:hAnsi="Cambria" w:asciiTheme="majorHAnsi" w:hAnsiTheme="majorHAnsi"/>
          <w:b w:val="false"/>
          <w:i w:val="false"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  <w:t>§ 1º do Art. 19 da Resolução 22/2012 do CAU/BR: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eastAsia="Calibri" w:cs="Times New Roman" w:asciiTheme="majorHAnsi" w:hAnsiTheme="majorHAnsi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</w:pPr>
      <w:r>
        <w:rPr>
          <w:rFonts w:eastAsia="Calibri" w:cs="Times New Roman" w:ascii="Cambria" w:hAnsi="Cambria"/>
          <w:b w:val="false"/>
          <w:i w:val="false"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eastAsia="Calibri" w:cs="Times New Roman" w:asciiTheme="majorHAnsi" w:hAnsiTheme="majorHAnsi"/>
          <w:i/>
          <w:i/>
          <w:color w:val="auto"/>
          <w:kern w:val="0"/>
          <w:sz w:val="21"/>
          <w:szCs w:val="21"/>
          <w:lang w:val="pt-BR" w:eastAsia="en-US" w:bidi="ar-SA"/>
        </w:rPr>
      </w:pPr>
      <w:r>
        <w:rPr>
          <w:rFonts w:eastAsia="Calibri" w:cs="Times New Roman" w:ascii="Cambria" w:hAnsi="Cambria"/>
          <w:i/>
          <w:color w:val="auto"/>
          <w:kern w:val="0"/>
          <w:sz w:val="21"/>
          <w:szCs w:val="21"/>
          <w:lang w:val="pt-BR" w:eastAsia="en-US" w:bidi="ar-SA"/>
        </w:rPr>
        <w:t>“</w:t>
      </w:r>
      <w:r>
        <w:rPr>
          <w:rFonts w:eastAsia="Calibri" w:cs="Times New Roman" w:ascii="Cambria" w:hAnsi="Cambria"/>
          <w:b w:val="false"/>
          <w:i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  <w:t>Para análise da defesa na Comissão de Exercício Profissional o processo será distribuído para um conselheiro relator, que deve apresentar relatório e voto fundamentado.”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sz w:val="21"/>
          <w:szCs w:val="21"/>
          <w:lang w:val="pt-BR"/>
        </w:rPr>
      </w:pPr>
      <w:r>
        <w:rPr>
          <w:rFonts w:cs="Times New Roman" w:ascii="Cambria" w:hAnsi="Cambria"/>
          <w:b w:val="false"/>
          <w:bCs w:val="false"/>
          <w:sz w:val="21"/>
          <w:szCs w:val="21"/>
          <w:lang w:val="pt-BR"/>
        </w:rPr>
      </w:r>
    </w:p>
    <w:p>
      <w:pPr>
        <w:pStyle w:val="Normal"/>
        <w:widowControl/>
        <w:suppressLineNumbers/>
        <w:spacing w:lineRule="auto" w:line="276"/>
        <w:ind w:hanging="0"/>
        <w:jc w:val="both"/>
        <w:rPr/>
      </w:pPr>
      <w:r>
        <w:rPr>
          <w:rFonts w:cs="Times New Roman" w:ascii="Cambria" w:hAnsi="Cambria"/>
          <w:b w:val="false"/>
          <w:bCs w:val="false"/>
          <w:i w:val="false"/>
          <w:iCs w:val="false"/>
          <w:sz w:val="21"/>
          <w:szCs w:val="21"/>
          <w:lang w:val="pt-BR"/>
        </w:rPr>
        <w:t xml:space="preserve">Considerando a </w:t>
      </w:r>
      <w:r>
        <w:rPr>
          <w:rFonts w:eastAsia="Calibri" w:cs="Times New Roman" w:ascii="Cambria" w:hAnsi="Cambria"/>
          <w:b w:val="false"/>
          <w:bCs w:val="false"/>
          <w:i w:val="false"/>
          <w:iCs w:val="false"/>
          <w:sz w:val="21"/>
          <w:szCs w:val="21"/>
          <w:lang w:val="pt-BR"/>
        </w:rPr>
        <w:t>Deliberação n° 15</w:t>
      </w:r>
      <w:r>
        <w:rPr>
          <w:rFonts w:eastAsia="Calibri" w:cs="Times New Roman" w:ascii="Cambria" w:hAnsi="Cambria" w:eastAsiaTheme="minorHAnsi"/>
          <w:b w:val="false"/>
          <w:bCs w:val="false"/>
          <w:i w:val="false"/>
          <w:iCs w:val="false"/>
          <w:color w:val="auto"/>
          <w:kern w:val="0"/>
          <w:sz w:val="21"/>
          <w:szCs w:val="21"/>
          <w:lang w:val="pt-BR" w:eastAsia="en-US" w:bidi="ar-SA"/>
        </w:rPr>
        <w:t>9</w:t>
      </w:r>
      <w:r>
        <w:rPr>
          <w:rFonts w:eastAsia="Calibri" w:cs="Times New Roman" w:ascii="Cambria" w:hAnsi="Cambria"/>
          <w:b w:val="false"/>
          <w:bCs w:val="false"/>
          <w:i w:val="false"/>
          <w:iCs w:val="false"/>
          <w:sz w:val="21"/>
          <w:szCs w:val="21"/>
          <w:lang w:val="pt-BR"/>
        </w:rPr>
        <w:t>.</w:t>
      </w:r>
      <w:r>
        <w:rPr>
          <w:rFonts w:eastAsia="Calibri" w:cs="Times New Roman" w:ascii="Cambria" w:hAnsi="Cambria" w:eastAsiaTheme="minorHAnsi"/>
          <w:b w:val="false"/>
          <w:bCs w:val="false"/>
          <w:i w:val="false"/>
          <w:iCs w:val="false"/>
          <w:color w:val="auto"/>
          <w:kern w:val="0"/>
          <w:sz w:val="21"/>
          <w:szCs w:val="21"/>
          <w:lang w:val="pt-BR" w:eastAsia="en-US" w:bidi="ar-SA"/>
        </w:rPr>
        <w:t>4</w:t>
      </w:r>
      <w:r>
        <w:rPr>
          <w:rFonts w:eastAsia="Calibri" w:cs="Times New Roman" w:ascii="Cambria" w:hAnsi="Cambria"/>
          <w:b w:val="false"/>
          <w:bCs w:val="false"/>
          <w:i w:val="false"/>
          <w:iCs w:val="false"/>
          <w:sz w:val="21"/>
          <w:szCs w:val="21"/>
          <w:lang w:val="pt-BR"/>
        </w:rPr>
        <w:t>.</w:t>
      </w:r>
      <w:r>
        <w:rPr>
          <w:rFonts w:eastAsia="Calibri" w:cs="Times New Roman" w:ascii="Cambria" w:hAnsi="Cambria" w:eastAsiaTheme="minorHAnsi"/>
          <w:b w:val="false"/>
          <w:bCs w:val="false"/>
          <w:i w:val="false"/>
          <w:iCs w:val="false"/>
          <w:color w:val="auto"/>
          <w:kern w:val="0"/>
          <w:sz w:val="21"/>
          <w:szCs w:val="21"/>
          <w:lang w:val="pt-BR" w:eastAsia="en-US" w:bidi="ar-SA"/>
        </w:rPr>
        <w:t>1</w:t>
      </w:r>
      <w:r>
        <w:rPr>
          <w:rFonts w:eastAsia="Calibri" w:cs="Times New Roman" w:ascii="Cambria" w:hAnsi="Cambria"/>
          <w:b w:val="false"/>
          <w:bCs w:val="false"/>
          <w:i w:val="false"/>
          <w:iCs w:val="false"/>
          <w:sz w:val="21"/>
          <w:szCs w:val="21"/>
          <w:lang w:val="pt-BR"/>
        </w:rPr>
        <w:t>/2019-CEP-CAU/MG, de 1</w:t>
      </w:r>
      <w:r>
        <w:rPr>
          <w:rFonts w:eastAsia="Calibri" w:cs="Times New Roman" w:ascii="Cambria" w:hAnsi="Cambria" w:eastAsiaTheme="minorHAnsi"/>
          <w:b w:val="false"/>
          <w:bCs w:val="false"/>
          <w:i w:val="false"/>
          <w:iCs w:val="false"/>
          <w:color w:val="auto"/>
          <w:kern w:val="0"/>
          <w:sz w:val="21"/>
          <w:szCs w:val="21"/>
          <w:lang w:val="pt-BR" w:eastAsia="en-US" w:bidi="ar-SA"/>
        </w:rPr>
        <w:t>4</w:t>
      </w:r>
      <w:r>
        <w:rPr>
          <w:rFonts w:eastAsia="Calibri" w:cs="Times New Roman" w:ascii="Cambria" w:hAnsi="Cambria"/>
          <w:b w:val="false"/>
          <w:bCs w:val="false"/>
          <w:i w:val="false"/>
          <w:iCs w:val="false"/>
          <w:sz w:val="21"/>
          <w:szCs w:val="21"/>
          <w:lang w:val="pt-BR"/>
        </w:rPr>
        <w:t xml:space="preserve"> de </w:t>
      </w:r>
      <w:r>
        <w:rPr>
          <w:rFonts w:eastAsia="Calibri" w:cs="Times New Roman" w:ascii="Cambria" w:hAnsi="Cambria" w:eastAsiaTheme="minorHAnsi"/>
          <w:b w:val="false"/>
          <w:bCs w:val="false"/>
          <w:i w:val="false"/>
          <w:iCs w:val="false"/>
          <w:color w:val="auto"/>
          <w:kern w:val="0"/>
          <w:sz w:val="21"/>
          <w:szCs w:val="21"/>
          <w:lang w:val="pt-BR" w:eastAsia="en-US" w:bidi="ar-SA"/>
        </w:rPr>
        <w:t xml:space="preserve">abril </w:t>
      </w:r>
      <w:r>
        <w:rPr>
          <w:rFonts w:eastAsia="Calibri" w:cs="Times New Roman" w:ascii="Cambria" w:hAnsi="Cambria"/>
          <w:b w:val="false"/>
          <w:bCs w:val="false"/>
          <w:i w:val="false"/>
          <w:iCs w:val="false"/>
          <w:sz w:val="21"/>
          <w:szCs w:val="21"/>
          <w:lang w:val="pt-BR"/>
        </w:rPr>
        <w:t>de 20</w:t>
      </w:r>
      <w:r>
        <w:rPr>
          <w:rFonts w:eastAsia="Calibri" w:cs="Times New Roman" w:ascii="Cambria" w:hAnsi="Cambria" w:eastAsiaTheme="minorHAnsi"/>
          <w:b w:val="false"/>
          <w:bCs w:val="false"/>
          <w:i w:val="false"/>
          <w:iCs w:val="false"/>
          <w:color w:val="auto"/>
          <w:kern w:val="0"/>
          <w:sz w:val="21"/>
          <w:szCs w:val="21"/>
          <w:lang w:val="pt-BR" w:eastAsia="en-US" w:bidi="ar-SA"/>
        </w:rPr>
        <w:t>20, cujo objeto é a definição dos procedimentos para elaboração e julgamento de pareceres de processos de fiscalização à revelia;</w:t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/>
          <w:sz w:val="22"/>
          <w:szCs w:val="22"/>
          <w:lang w:val="pt-BR"/>
        </w:rPr>
        <w:t xml:space="preserve">Designar como relatores, no âmbito da CEP-CAU/MG, 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os conselheiros Ademir Nogueira de Ávila, Ariel Luís Lazzarin, Fábio Almeida Vieira e Maria Edwiges Sobreira Leal para análise dos processos elencados abaixo, e apresentação de relatório e voto fundamentado:</w:t>
      </w:r>
    </w:p>
    <w:p>
      <w:pPr>
        <w:pStyle w:val="ListParagrap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1000090278 -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1000077452 -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1000088756 -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1000090496 -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1000090393 -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1000074400 -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1000076092 -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1000074325 -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1000070644 -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1000081489 -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1000067982 -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1000074071 -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1000075811 -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1000077448 -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1000089611 - Ademir Nogueira de Ávila</w:t>
      </w:r>
    </w:p>
    <w:p>
      <w:pPr>
        <w:pStyle w:val="ListParagraph"/>
        <w:numPr>
          <w:ilvl w:val="0"/>
          <w:numId w:val="0"/>
        </w:numPr>
        <w:ind w:left="1541" w:hanging="0"/>
        <w:rPr>
          <w:rFonts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Redistribuir e designar como relatores, no âmbito da CEP-CAU/MG, os conselheiros Ademir Nogueira de Ávila, Ariel Luís Lazzarin, Fábio Almeida Vieira e Maria Edwiges Sobreira Leal para análise dos processos elencados abaixo, e apresentação de relatório e voto fundamentado:</w:t>
      </w:r>
    </w:p>
    <w:p>
      <w:pPr>
        <w:pStyle w:val="ListParagraph"/>
        <w:rPr>
          <w:rFonts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1000010143 - Fábio Almeida Vieira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1000029907 - Fábio Almeida Vieira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1000076501 - Fábio Almeida Vieira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1000065967 - Fábio Almeida Vieira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1000006805 –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1000006811 -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1000007051 -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1000017499 -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1000017504 -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1000017507 -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1000017707 -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1000018177 -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1000018961 -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1000017213 -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1000017402 -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1000017415 -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1000017476 -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1000017481 - Maria Edwiges Sobreira Leal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1000042055 - Ariel Luís Lazzarin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1000081226 - Ariel Luís Lazzarin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1000056817 - Ariel Luís Lazzarin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1000088733 - Ariel Luís Lazzarin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1000088788 - Ariel Luís Lazzarin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1000088820 - Ariel Luís Lazzarin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1000088826  -Ariel Luís Lazzarin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1000060268 - Ariel Luís Lazzarin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1000086946 - Ariel Luís Lazzarin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1000017517 - Fábio Almeida Vieira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1000017759 - Fábio Almeida Vieira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1000031696 - Fábio Almeida Vieira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1000031711 - Fábio Almeida Vieira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1000054416 - Fábio Almeida Vieira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1000066539 - Fábio Almeida Vieira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1000052493 -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1000088553 -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1000065811 - Ademir Nogueira de Ávila</w:t>
      </w:r>
    </w:p>
    <w:p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1000051628 - Ademir Nogueira de Ávila</w:t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1"/>
        <w:gridCol w:w="5315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LibreOffice/6.3.3.2$Windows_X86_64 LibreOffice_project/a64200df03143b798afd1ec74a12ab50359878ed</Application>
  <Pages>3</Pages>
  <Words>682</Words>
  <Characters>3757</Characters>
  <CharactersWithSpaces>4312</CharactersWithSpaces>
  <Paragraphs>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2020-06-17T15:55:23Z</dcterms:modified>
  <cp:revision>16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