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EE1B9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EE1B9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EE1B9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122026" w:rsidP="00AF57BF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SOLICITAÇÃO DE </w:t>
            </w:r>
            <w:r w:rsidR="00EE1B91">
              <w:rPr>
                <w:rFonts w:asciiTheme="majorHAnsi" w:hAnsiTheme="majorHAnsi" w:cs="Times New Roman"/>
                <w:b/>
                <w:szCs w:val="20"/>
              </w:rPr>
              <w:t xml:space="preserve">ALTERAÇÃO DE DATA DE </w:t>
            </w:r>
            <w:r>
              <w:rPr>
                <w:rFonts w:asciiTheme="majorHAnsi" w:hAnsiTheme="majorHAnsi" w:cs="Times New Roman"/>
                <w:b/>
                <w:szCs w:val="20"/>
              </w:rPr>
              <w:t>REUNIÃO EXTRAORDINÁRIA</w:t>
            </w:r>
          </w:p>
        </w:tc>
      </w:tr>
      <w:tr w:rsidR="00113CE6" w:rsidRPr="00EE1B91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E1B91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EE1B9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EE1B91">
              <w:rPr>
                <w:rFonts w:asciiTheme="majorHAnsi" w:hAnsiTheme="majorHAnsi" w:cs="Times New Roman"/>
                <w:b/>
                <w:sz w:val="24"/>
              </w:rPr>
              <w:t>7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EE1B91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.1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EE1B91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B0686A" w:rsidRDefault="000871A5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 xml:space="preserve">A </w:t>
      </w:r>
      <w:r w:rsidR="005C366A" w:rsidRPr="00B0686A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B0686A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B0686A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B0686A">
        <w:rPr>
          <w:rFonts w:asciiTheme="majorHAnsi" w:hAnsiTheme="majorHAnsi" w:cs="Times New Roman"/>
          <w:lang w:val="pt-BR"/>
        </w:rPr>
        <w:t xml:space="preserve">no dia </w:t>
      </w:r>
      <w:r w:rsidR="00EE1B91">
        <w:rPr>
          <w:rFonts w:asciiTheme="majorHAnsi" w:hAnsiTheme="majorHAnsi" w:cs="Times New Roman"/>
          <w:lang w:val="pt-BR"/>
        </w:rPr>
        <w:t>21</w:t>
      </w:r>
      <w:r w:rsidR="0072797B" w:rsidRPr="00B0686A">
        <w:rPr>
          <w:rFonts w:asciiTheme="majorHAnsi" w:hAnsiTheme="majorHAnsi" w:cs="Times New Roman"/>
          <w:lang w:val="pt-BR"/>
        </w:rPr>
        <w:t xml:space="preserve"> de </w:t>
      </w:r>
      <w:r w:rsidR="00EE1B91">
        <w:rPr>
          <w:rFonts w:asciiTheme="majorHAnsi" w:hAnsiTheme="majorHAnsi" w:cs="Times New Roman"/>
          <w:lang w:val="pt-BR"/>
        </w:rPr>
        <w:t>maio</w:t>
      </w:r>
      <w:r w:rsidR="005F0DBA">
        <w:rPr>
          <w:rFonts w:asciiTheme="majorHAnsi" w:hAnsiTheme="majorHAnsi" w:cs="Times New Roman"/>
          <w:lang w:val="pt-BR"/>
        </w:rPr>
        <w:t xml:space="preserve"> </w:t>
      </w:r>
      <w:r w:rsidR="0072797B" w:rsidRPr="00B0686A">
        <w:rPr>
          <w:rFonts w:asciiTheme="majorHAnsi" w:hAnsiTheme="majorHAnsi" w:cs="Times New Roman"/>
          <w:lang w:val="pt-BR"/>
        </w:rPr>
        <w:t>de 2019</w:t>
      </w:r>
      <w:r w:rsidR="003D63BE" w:rsidRPr="00B0686A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B0686A">
        <w:rPr>
          <w:rFonts w:asciiTheme="majorHAnsi" w:hAnsiTheme="majorHAnsi" w:cs="Times New Roman"/>
          <w:lang w:val="pt-BR"/>
        </w:rPr>
        <w:t>Regimento Interno do CAU/MG</w:t>
      </w:r>
      <w:r w:rsidR="00C13915" w:rsidRPr="00B0686A">
        <w:rPr>
          <w:rFonts w:asciiTheme="majorHAnsi" w:hAnsiTheme="majorHAnsi" w:cs="Times New Roman"/>
          <w:lang w:val="pt-BR"/>
        </w:rPr>
        <w:t xml:space="preserve">, </w:t>
      </w:r>
      <w:r w:rsidR="00AF57BF" w:rsidRPr="00B0686A">
        <w:rPr>
          <w:rFonts w:asciiTheme="majorHAnsi" w:hAnsiTheme="majorHAnsi" w:cs="Times New Roman"/>
          <w:lang w:val="pt-BR"/>
        </w:rPr>
        <w:t>em especial:</w:t>
      </w:r>
    </w:p>
    <w:p w:rsidR="00B0686A" w:rsidRPr="00EE1B91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92 do Regimento Interno do CAU/MG: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VI - apreciar e deliberar sobre convocações de reuniões extraordinárias;</w:t>
      </w:r>
    </w:p>
    <w:p w:rsidR="00B0686A" w:rsidRPr="00EE1B91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104 do Regimento Interno do CAU/MG: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:rsidR="00B0686A" w:rsidRPr="00EE1B91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152 do Regimento Interno do CAU/MG: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ao presidente do CAU/MG: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:rsidR="00EE1B91" w:rsidRDefault="00EE1B91" w:rsidP="00EE1B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E1B91" w:rsidRPr="00B0686A" w:rsidRDefault="00EE1B91" w:rsidP="00EE1B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:rsidR="00EE1B91" w:rsidRPr="00B0686A" w:rsidRDefault="00B0686A" w:rsidP="00EE1B91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 xml:space="preserve">Solicitar à Presidência do CAU/MG que autorize, </w:t>
      </w:r>
      <w:r w:rsidRPr="00B0686A">
        <w:rPr>
          <w:rFonts w:asciiTheme="majorHAnsi" w:hAnsiTheme="majorHAnsi" w:cs="Times New Roman"/>
          <w:i/>
          <w:lang w:val="pt-BR"/>
        </w:rPr>
        <w:t>ad referendum</w:t>
      </w:r>
      <w:r w:rsidRPr="00B0686A">
        <w:rPr>
          <w:rFonts w:asciiTheme="majorHAnsi" w:hAnsiTheme="majorHAnsi" w:cs="Times New Roman"/>
          <w:lang w:val="pt-BR"/>
        </w:rPr>
        <w:t xml:space="preserve"> do Plenário, a</w:t>
      </w:r>
      <w:r w:rsidR="00EE1B91">
        <w:rPr>
          <w:rFonts w:asciiTheme="majorHAnsi" w:hAnsiTheme="majorHAnsi" w:cs="Times New Roman"/>
          <w:lang w:val="pt-BR"/>
        </w:rPr>
        <w:t xml:space="preserve"> alteração da data </w:t>
      </w:r>
      <w:proofErr w:type="gramStart"/>
      <w:r w:rsidR="00EE1B91">
        <w:rPr>
          <w:rFonts w:asciiTheme="majorHAnsi" w:hAnsiTheme="majorHAnsi" w:cs="Times New Roman"/>
          <w:lang w:val="pt-BR"/>
        </w:rPr>
        <w:t xml:space="preserve">de </w:t>
      </w:r>
      <w:r w:rsidRPr="00B0686A">
        <w:rPr>
          <w:rFonts w:asciiTheme="majorHAnsi" w:hAnsiTheme="majorHAnsi" w:cs="Times New Roman"/>
          <w:lang w:val="pt-BR"/>
        </w:rPr>
        <w:t xml:space="preserve"> realização</w:t>
      </w:r>
      <w:proofErr w:type="gramEnd"/>
      <w:r w:rsidRPr="00B0686A">
        <w:rPr>
          <w:rFonts w:asciiTheme="majorHAnsi" w:hAnsiTheme="majorHAnsi" w:cs="Times New Roman"/>
          <w:lang w:val="pt-BR"/>
        </w:rPr>
        <w:t xml:space="preserve"> de reunião extraordinária desta Comissão de Exercício Profissional, </w:t>
      </w:r>
      <w:r w:rsidR="00EE1B91">
        <w:rPr>
          <w:rFonts w:asciiTheme="majorHAnsi" w:hAnsiTheme="majorHAnsi" w:cs="Times New Roman"/>
          <w:lang w:val="pt-BR"/>
        </w:rPr>
        <w:t xml:space="preserve">atualmente agendada </w:t>
      </w:r>
      <w:r w:rsidRPr="00B0686A">
        <w:rPr>
          <w:rFonts w:asciiTheme="majorHAnsi" w:hAnsiTheme="majorHAnsi" w:cs="Times New Roman"/>
          <w:lang w:val="pt-BR"/>
        </w:rPr>
        <w:t xml:space="preserve">no dia </w:t>
      </w:r>
      <w:r w:rsidR="00EE1B91">
        <w:rPr>
          <w:rFonts w:asciiTheme="majorHAnsi" w:hAnsiTheme="majorHAnsi" w:cs="Times New Roman"/>
          <w:lang w:val="pt-BR"/>
        </w:rPr>
        <w:t>05</w:t>
      </w:r>
      <w:r w:rsidRPr="00B0686A">
        <w:rPr>
          <w:rFonts w:asciiTheme="majorHAnsi" w:hAnsiTheme="majorHAnsi" w:cs="Times New Roman"/>
          <w:lang w:val="pt-BR"/>
        </w:rPr>
        <w:t xml:space="preserve"> de </w:t>
      </w:r>
      <w:r w:rsidR="00EE1B91">
        <w:rPr>
          <w:rFonts w:asciiTheme="majorHAnsi" w:hAnsiTheme="majorHAnsi" w:cs="Times New Roman"/>
          <w:lang w:val="pt-BR"/>
        </w:rPr>
        <w:t>junho</w:t>
      </w:r>
      <w:r w:rsidRPr="00B0686A">
        <w:rPr>
          <w:rFonts w:asciiTheme="majorHAnsi" w:hAnsiTheme="majorHAnsi" w:cs="Times New Roman"/>
          <w:lang w:val="pt-BR"/>
        </w:rPr>
        <w:t xml:space="preserve"> de 2019, </w:t>
      </w:r>
      <w:r w:rsidR="00EE1B91">
        <w:rPr>
          <w:rFonts w:asciiTheme="majorHAnsi" w:hAnsiTheme="majorHAnsi" w:cs="Times New Roman"/>
          <w:lang w:val="pt-BR"/>
        </w:rPr>
        <w:t xml:space="preserve">para que venha ocorrer em 19 de junho de 2019, tendo em vista a indisponibilidade de agenda dos conselheiros.  </w:t>
      </w:r>
    </w:p>
    <w:p w:rsidR="005F0DBA" w:rsidRDefault="005F0DBA" w:rsidP="005F0DBA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EE1B91">
        <w:rPr>
          <w:rFonts w:asciiTheme="majorHAnsi" w:hAnsiTheme="majorHAnsi" w:cs="Times New Roman"/>
          <w:lang w:val="pt-BR"/>
        </w:rPr>
        <w:t>21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EE1B91">
        <w:rPr>
          <w:rFonts w:asciiTheme="majorHAnsi" w:hAnsiTheme="majorHAnsi" w:cs="Times New Roman"/>
          <w:lang w:val="pt-BR"/>
        </w:rPr>
        <w:t>maio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Pr="00B0686A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EE1B91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EE1B91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EE1B9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EE1B9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EE1B9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EE1B91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01" w:rsidRDefault="00D66601" w:rsidP="007E22C9">
      <w:r>
        <w:separator/>
      </w:r>
    </w:p>
  </w:endnote>
  <w:endnote w:type="continuationSeparator" w:id="0">
    <w:p w:rsidR="00D66601" w:rsidRDefault="00D6660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01" w:rsidRDefault="00D66601" w:rsidP="007E22C9">
      <w:r>
        <w:separator/>
      </w:r>
    </w:p>
  </w:footnote>
  <w:footnote w:type="continuationSeparator" w:id="0">
    <w:p w:rsidR="00D66601" w:rsidRDefault="00D6660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1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2"/>
  </w:num>
  <w:num w:numId="8">
    <w:abstractNumId w:val="1"/>
  </w:num>
  <w:num w:numId="9">
    <w:abstractNumId w:val="3"/>
  </w:num>
  <w:num w:numId="10">
    <w:abstractNumId w:val="17"/>
  </w:num>
  <w:num w:numId="11">
    <w:abstractNumId w:val="30"/>
  </w:num>
  <w:num w:numId="12">
    <w:abstractNumId w:val="9"/>
  </w:num>
  <w:num w:numId="13">
    <w:abstractNumId w:val="20"/>
  </w:num>
  <w:num w:numId="14">
    <w:abstractNumId w:val="34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4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1"/>
  </w:num>
  <w:num w:numId="25">
    <w:abstractNumId w:val="2"/>
  </w:num>
  <w:num w:numId="26">
    <w:abstractNumId w:val="26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D6007"/>
    <w:rsid w:val="000F3838"/>
    <w:rsid w:val="000F538A"/>
    <w:rsid w:val="00102BCC"/>
    <w:rsid w:val="00107335"/>
    <w:rsid w:val="00113CE6"/>
    <w:rsid w:val="0012202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E4C07"/>
    <w:rsid w:val="004F30A6"/>
    <w:rsid w:val="004F7471"/>
    <w:rsid w:val="00507FD2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207B9"/>
    <w:rsid w:val="00626459"/>
    <w:rsid w:val="00632110"/>
    <w:rsid w:val="00690C50"/>
    <w:rsid w:val="006C121A"/>
    <w:rsid w:val="006C7CF0"/>
    <w:rsid w:val="006D3E06"/>
    <w:rsid w:val="00712340"/>
    <w:rsid w:val="00722E5D"/>
    <w:rsid w:val="0072797B"/>
    <w:rsid w:val="007509AB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E3824"/>
    <w:rsid w:val="00CE384F"/>
    <w:rsid w:val="00CE6BD1"/>
    <w:rsid w:val="00D02F33"/>
    <w:rsid w:val="00D20C72"/>
    <w:rsid w:val="00D613B4"/>
    <w:rsid w:val="00D66601"/>
    <w:rsid w:val="00DA1E10"/>
    <w:rsid w:val="00DC3233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141"/>
    <w:rsid w:val="00EC4C5B"/>
    <w:rsid w:val="00EC4FF6"/>
    <w:rsid w:val="00ED3DBE"/>
    <w:rsid w:val="00EE1B91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9D7E7-9213-4920-BA58-2C9AB2CE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AFD4-A7EF-4844-A8D6-02FAB7A4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6</cp:revision>
  <cp:lastPrinted>2019-01-22T18:20:00Z</cp:lastPrinted>
  <dcterms:created xsi:type="dcterms:W3CDTF">2019-01-22T18:23:00Z</dcterms:created>
  <dcterms:modified xsi:type="dcterms:W3CDTF">2019-05-22T13:07:00Z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