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11357D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B42D9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2B42D9">
              <w:rPr>
                <w:rFonts w:asciiTheme="majorHAnsi" w:hAnsiTheme="majorHAnsi" w:cs="Times New Roman"/>
                <w:caps/>
                <w:szCs w:val="20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2B42D9" w:rsidRDefault="00F0304C" w:rsidP="00C777AE">
            <w:pPr>
              <w:suppressLineNumbers/>
              <w:rPr>
                <w:rFonts w:asciiTheme="majorHAnsi" w:hAnsiTheme="majorHAnsi" w:cs="Times New Roman"/>
                <w:szCs w:val="20"/>
              </w:rPr>
            </w:pPr>
            <w:r w:rsidRPr="002B42D9">
              <w:rPr>
                <w:rFonts w:asciiTheme="majorHAnsi" w:hAnsiTheme="majorHAnsi" w:cs="Times New Roman"/>
                <w:szCs w:val="20"/>
              </w:rPr>
              <w:t>Regimento Interno do CAU/MG</w:t>
            </w:r>
          </w:p>
        </w:tc>
      </w:tr>
      <w:tr w:rsidR="00113CE6" w:rsidRPr="0011357D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B42D9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2B42D9">
              <w:rPr>
                <w:rFonts w:asciiTheme="majorHAnsi" w:hAnsiTheme="majorHAnsi" w:cs="Times New Roman"/>
                <w:caps/>
                <w:szCs w:val="20"/>
              </w:rPr>
              <w:t>INTERESSADOS: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2B42D9" w:rsidRDefault="00F0304C" w:rsidP="00F0304C">
            <w:pPr>
              <w:suppressLineNumbers/>
              <w:rPr>
                <w:rFonts w:asciiTheme="majorHAnsi" w:hAnsiTheme="majorHAnsi" w:cs="Times New Roman"/>
                <w:szCs w:val="20"/>
              </w:rPr>
            </w:pPr>
            <w:r w:rsidRPr="002B42D9">
              <w:rPr>
                <w:rFonts w:asciiTheme="majorHAnsi" w:hAnsiTheme="majorHAnsi" w:cs="Times New Roman"/>
                <w:szCs w:val="20"/>
              </w:rPr>
              <w:t>Comissão de Exercício Profissional do CAU/MG</w:t>
            </w:r>
            <w:r w:rsidR="002B42D9">
              <w:rPr>
                <w:rFonts w:asciiTheme="majorHAnsi" w:hAnsiTheme="majorHAnsi" w:cs="Times New Roman"/>
                <w:szCs w:val="20"/>
              </w:rPr>
              <w:t xml:space="preserve">; </w:t>
            </w:r>
            <w:r w:rsidRPr="002B42D9">
              <w:rPr>
                <w:rFonts w:asciiTheme="majorHAnsi" w:hAnsiTheme="majorHAnsi" w:cs="Times New Roman"/>
                <w:szCs w:val="20"/>
              </w:rPr>
              <w:t>Presidência do CAU/MG</w:t>
            </w:r>
          </w:p>
        </w:tc>
      </w:tr>
      <w:tr w:rsidR="00113CE6" w:rsidRPr="0011357D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B42D9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2B42D9">
              <w:rPr>
                <w:rFonts w:asciiTheme="majorHAnsi" w:hAnsiTheme="majorHAnsi" w:cs="Times New Roman"/>
                <w:caps/>
                <w:szCs w:val="20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2B42D9" w:rsidRDefault="00B00485" w:rsidP="00E21D57">
            <w:pPr>
              <w:suppressLineNumbers/>
              <w:rPr>
                <w:rFonts w:asciiTheme="majorHAnsi" w:hAnsiTheme="majorHAnsi" w:cs="Times New Roman"/>
                <w:b/>
                <w:szCs w:val="20"/>
              </w:rPr>
            </w:pPr>
            <w:r w:rsidRPr="00B00485">
              <w:rPr>
                <w:rFonts w:asciiTheme="majorHAnsi" w:hAnsiTheme="majorHAnsi" w:cs="Times New Roman"/>
                <w:b/>
                <w:szCs w:val="20"/>
              </w:rPr>
              <w:t xml:space="preserve">MANIFESTAÇÃO </w:t>
            </w:r>
            <w:r w:rsidR="00E21D57" w:rsidRPr="00E21D57">
              <w:rPr>
                <w:rFonts w:asciiTheme="majorHAnsi" w:hAnsiTheme="majorHAnsi" w:cs="Times New Roman"/>
                <w:b/>
                <w:szCs w:val="20"/>
              </w:rPr>
              <w:t>ACERCA DE CORRESPONDÊNCIA RECEBIDA</w:t>
            </w:r>
          </w:p>
        </w:tc>
      </w:tr>
      <w:tr w:rsidR="00113CE6" w:rsidRPr="0011357D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11357D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2B42D9" w:rsidRDefault="00113CE6" w:rsidP="00B00485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021E63">
              <w:rPr>
                <w:rFonts w:asciiTheme="majorHAnsi" w:hAnsiTheme="majorHAnsi" w:cs="Times New Roman"/>
                <w:b/>
                <w:sz w:val="24"/>
              </w:rPr>
              <w:t>14</w:t>
            </w:r>
            <w:r w:rsidR="00B00485">
              <w:rPr>
                <w:rFonts w:asciiTheme="majorHAnsi" w:hAnsiTheme="majorHAnsi" w:cs="Times New Roman"/>
                <w:b/>
                <w:sz w:val="24"/>
              </w:rPr>
              <w:t>0.</w:t>
            </w:r>
            <w:r w:rsidR="00E21D57">
              <w:rPr>
                <w:rFonts w:asciiTheme="majorHAnsi" w:hAnsiTheme="majorHAnsi" w:cs="Times New Roman"/>
                <w:b/>
                <w:sz w:val="24"/>
              </w:rPr>
              <w:t>3.</w:t>
            </w:r>
            <w:r w:rsidR="00B00485">
              <w:rPr>
                <w:rFonts w:asciiTheme="majorHAnsi" w:hAnsiTheme="majorHAnsi" w:cs="Times New Roman"/>
                <w:b/>
                <w:sz w:val="24"/>
              </w:rPr>
              <w:t>1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201</w:t>
            </w:r>
            <w:r w:rsidR="00AF57BF">
              <w:rPr>
                <w:rFonts w:asciiTheme="majorHAnsi" w:hAnsiTheme="majorHAnsi" w:cs="Times New Roman"/>
                <w:b/>
                <w:sz w:val="24"/>
              </w:rPr>
              <w:t>9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571F68" w:rsidRPr="00571F68" w:rsidRDefault="00571F68" w:rsidP="0072797B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highlight w:val="yellow"/>
          <w:lang w:val="pt-BR"/>
        </w:rPr>
      </w:pPr>
    </w:p>
    <w:p w:rsidR="003D63BE" w:rsidRPr="0011357D" w:rsidRDefault="000871A5" w:rsidP="0072797B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Cs w:val="21"/>
          <w:lang w:val="pt-BR"/>
        </w:rPr>
      </w:pPr>
      <w:r w:rsidRPr="0011357D">
        <w:rPr>
          <w:rFonts w:asciiTheme="majorHAnsi" w:hAnsiTheme="majorHAnsi" w:cs="Times New Roman"/>
          <w:szCs w:val="21"/>
          <w:lang w:val="pt-BR"/>
        </w:rPr>
        <w:t xml:space="preserve">A </w:t>
      </w:r>
      <w:r w:rsidR="005C366A" w:rsidRPr="0011357D">
        <w:rPr>
          <w:rFonts w:asciiTheme="majorHAnsi" w:hAnsiTheme="majorHAnsi" w:cs="Times New Roman"/>
          <w:szCs w:val="21"/>
          <w:lang w:val="pt-BR"/>
        </w:rPr>
        <w:t xml:space="preserve">COMISSÃO DE EXERCÍCIO PROFISSIONAL </w:t>
      </w:r>
      <w:r w:rsidRPr="0011357D">
        <w:rPr>
          <w:rFonts w:asciiTheme="majorHAnsi" w:hAnsiTheme="majorHAnsi" w:cs="Times New Roman"/>
          <w:szCs w:val="21"/>
          <w:lang w:val="pt-BR"/>
        </w:rPr>
        <w:t>– CEP-CAU/MG, reunida ordinariamente</w:t>
      </w:r>
      <w:r w:rsidR="005C366A" w:rsidRPr="0011357D">
        <w:rPr>
          <w:rFonts w:asciiTheme="majorHAnsi" w:hAnsiTheme="majorHAnsi" w:cs="Times New Roman"/>
          <w:szCs w:val="21"/>
          <w:lang w:val="pt-BR"/>
        </w:rPr>
        <w:t xml:space="preserve"> em Belo Horizonte, na sede do CAU/MG, </w:t>
      </w:r>
      <w:r w:rsidR="003D63BE" w:rsidRPr="0011357D">
        <w:rPr>
          <w:rFonts w:asciiTheme="majorHAnsi" w:hAnsiTheme="majorHAnsi" w:cs="Times New Roman"/>
          <w:szCs w:val="21"/>
          <w:lang w:val="pt-BR"/>
        </w:rPr>
        <w:t xml:space="preserve">no dia </w:t>
      </w:r>
      <w:r w:rsidR="00D650F6" w:rsidRPr="0011357D">
        <w:rPr>
          <w:rFonts w:asciiTheme="majorHAnsi" w:hAnsiTheme="majorHAnsi" w:cs="Times New Roman"/>
          <w:szCs w:val="21"/>
          <w:lang w:val="pt-BR"/>
        </w:rPr>
        <w:t>11</w:t>
      </w:r>
      <w:r w:rsidR="0072797B" w:rsidRPr="0011357D">
        <w:rPr>
          <w:rFonts w:asciiTheme="majorHAnsi" w:hAnsiTheme="majorHAnsi" w:cs="Times New Roman"/>
          <w:szCs w:val="21"/>
          <w:lang w:val="pt-BR"/>
        </w:rPr>
        <w:t xml:space="preserve"> de </w:t>
      </w:r>
      <w:r w:rsidR="00D650F6" w:rsidRPr="0011357D">
        <w:rPr>
          <w:rFonts w:asciiTheme="majorHAnsi" w:hAnsiTheme="majorHAnsi" w:cs="Times New Roman"/>
          <w:szCs w:val="21"/>
          <w:lang w:val="pt-BR"/>
        </w:rPr>
        <w:t>fevereiro</w:t>
      </w:r>
      <w:r w:rsidR="0072797B" w:rsidRPr="0011357D">
        <w:rPr>
          <w:rFonts w:asciiTheme="majorHAnsi" w:hAnsiTheme="majorHAnsi" w:cs="Times New Roman"/>
          <w:szCs w:val="21"/>
          <w:lang w:val="pt-BR"/>
        </w:rPr>
        <w:t xml:space="preserve"> de 2019</w:t>
      </w:r>
      <w:r w:rsidR="003D63BE" w:rsidRPr="0011357D">
        <w:rPr>
          <w:rFonts w:asciiTheme="majorHAnsi" w:hAnsiTheme="majorHAnsi" w:cs="Times New Roman"/>
          <w:szCs w:val="21"/>
          <w:lang w:val="pt-BR"/>
        </w:rPr>
        <w:t xml:space="preserve">, no uso das competências que lhe conferem o </w:t>
      </w:r>
      <w:r w:rsidRPr="0011357D">
        <w:rPr>
          <w:rFonts w:asciiTheme="majorHAnsi" w:hAnsiTheme="majorHAnsi" w:cs="Times New Roman"/>
          <w:szCs w:val="21"/>
          <w:lang w:val="pt-BR"/>
        </w:rPr>
        <w:t>Regimento Interno do CAU/MG</w:t>
      </w:r>
      <w:r w:rsidR="00C13915" w:rsidRPr="0011357D">
        <w:rPr>
          <w:rFonts w:asciiTheme="majorHAnsi" w:hAnsiTheme="majorHAnsi" w:cs="Times New Roman"/>
          <w:szCs w:val="21"/>
          <w:lang w:val="pt-BR"/>
        </w:rPr>
        <w:t xml:space="preserve">, </w:t>
      </w:r>
      <w:r w:rsidR="00AF57BF" w:rsidRPr="0011357D">
        <w:rPr>
          <w:rFonts w:asciiTheme="majorHAnsi" w:hAnsiTheme="majorHAnsi" w:cs="Times New Roman"/>
          <w:szCs w:val="21"/>
          <w:lang w:val="pt-BR"/>
        </w:rPr>
        <w:t>em especial:</w:t>
      </w:r>
      <w:r w:rsidR="003D63BE" w:rsidRPr="0011357D">
        <w:rPr>
          <w:rFonts w:asciiTheme="majorHAnsi" w:hAnsiTheme="majorHAnsi" w:cs="Times New Roman"/>
          <w:szCs w:val="21"/>
          <w:lang w:val="pt-BR"/>
        </w:rPr>
        <w:t xml:space="preserve"> </w:t>
      </w:r>
    </w:p>
    <w:p w:rsidR="004F7471" w:rsidRPr="0011357D" w:rsidRDefault="004F7471" w:rsidP="005C36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4"/>
          <w:highlight w:val="yellow"/>
          <w:lang w:val="pt-BR"/>
        </w:rPr>
      </w:pPr>
    </w:p>
    <w:p w:rsidR="004F7471" w:rsidRPr="0011357D" w:rsidRDefault="004F7471" w:rsidP="00571F68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Cs w:val="21"/>
          <w:lang w:val="pt-BR"/>
        </w:rPr>
      </w:pPr>
      <w:r w:rsidRPr="0011357D">
        <w:rPr>
          <w:rFonts w:asciiTheme="majorHAnsi" w:hAnsiTheme="majorHAnsi" w:cs="Times New Roman"/>
          <w:szCs w:val="21"/>
          <w:lang w:val="pt-BR"/>
        </w:rPr>
        <w:t xml:space="preserve">Considerando o artigo </w:t>
      </w:r>
      <w:r w:rsidR="00AF57BF" w:rsidRPr="0011357D">
        <w:rPr>
          <w:rFonts w:asciiTheme="majorHAnsi" w:hAnsiTheme="majorHAnsi" w:cs="Times New Roman"/>
          <w:szCs w:val="21"/>
          <w:lang w:val="pt-BR"/>
        </w:rPr>
        <w:t>96</w:t>
      </w:r>
      <w:r w:rsidRPr="0011357D">
        <w:rPr>
          <w:rFonts w:asciiTheme="majorHAnsi" w:hAnsiTheme="majorHAnsi" w:cs="Times New Roman"/>
          <w:szCs w:val="21"/>
          <w:lang w:val="pt-BR"/>
        </w:rPr>
        <w:t xml:space="preserve"> do Regimento Interno do CAU/MG:</w:t>
      </w:r>
    </w:p>
    <w:p w:rsidR="00571F68" w:rsidRPr="0011357D" w:rsidRDefault="00571F68" w:rsidP="00571F68">
      <w:pPr>
        <w:widowControl/>
        <w:suppressLineNumbers/>
        <w:spacing w:line="276" w:lineRule="auto"/>
        <w:rPr>
          <w:rFonts w:asciiTheme="majorHAnsi" w:hAnsiTheme="majorHAnsi" w:cs="Times New Roman"/>
          <w:i/>
          <w:sz w:val="12"/>
          <w:szCs w:val="10"/>
          <w:highlight w:val="yellow"/>
          <w:lang w:val="pt-BR"/>
        </w:rPr>
      </w:pPr>
    </w:p>
    <w:p w:rsidR="00571F68" w:rsidRPr="0011357D" w:rsidRDefault="00571F68" w:rsidP="00571F68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Cs w:val="21"/>
          <w:lang w:val="pt-BR"/>
        </w:rPr>
      </w:pPr>
      <w:r w:rsidRPr="0011357D">
        <w:rPr>
          <w:rFonts w:asciiTheme="majorHAnsi" w:hAnsiTheme="majorHAnsi" w:cs="Times New Roman"/>
          <w:i/>
          <w:szCs w:val="21"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:rsidR="00571F68" w:rsidRPr="0011357D" w:rsidRDefault="00571F68" w:rsidP="00571F68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Cs w:val="21"/>
          <w:lang w:val="pt-BR"/>
        </w:rPr>
      </w:pPr>
      <w:r w:rsidRPr="0011357D">
        <w:rPr>
          <w:rFonts w:asciiTheme="majorHAnsi" w:hAnsiTheme="majorHAnsi" w:cs="Times New Roman"/>
          <w:i/>
          <w:szCs w:val="21"/>
          <w:lang w:val="pt-BR"/>
        </w:rPr>
        <w:t>I - propor, apreciar e deliberar sobre aprimoramento de atos normativos do CAU/BR referentes ao exercício profissional, a ser encaminhado via presidência do CAU/MG para deliberação pelo CAU/BR, sobre procedimentos para:</w:t>
      </w:r>
    </w:p>
    <w:p w:rsidR="00571F68" w:rsidRPr="0011357D" w:rsidRDefault="00571F68" w:rsidP="00571F68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Cs w:val="21"/>
          <w:lang w:val="pt-BR"/>
        </w:rPr>
      </w:pPr>
      <w:r w:rsidRPr="0011357D">
        <w:rPr>
          <w:rFonts w:asciiTheme="majorHAnsi" w:hAnsiTheme="majorHAnsi" w:cs="Times New Roman"/>
          <w:i/>
          <w:szCs w:val="21"/>
          <w:lang w:val="pt-BR"/>
        </w:rPr>
        <w:t>[...]</w:t>
      </w:r>
    </w:p>
    <w:p w:rsidR="00571F68" w:rsidRPr="0011357D" w:rsidRDefault="00571F68" w:rsidP="00571F68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Cs w:val="21"/>
          <w:lang w:val="pt-BR"/>
        </w:rPr>
      </w:pPr>
      <w:r w:rsidRPr="0011357D">
        <w:rPr>
          <w:rFonts w:asciiTheme="majorHAnsi" w:hAnsiTheme="majorHAnsi" w:cs="Times New Roman"/>
          <w:i/>
          <w:szCs w:val="21"/>
          <w:lang w:val="pt-BR"/>
        </w:rPr>
        <w:t>d) atividades técnicas no exercício da Arquitetura e Urbanismo;</w:t>
      </w:r>
    </w:p>
    <w:p w:rsidR="00571F68" w:rsidRPr="0011357D" w:rsidRDefault="00571F68" w:rsidP="00571F68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Cs w:val="21"/>
          <w:lang w:val="pt-BR"/>
        </w:rPr>
      </w:pPr>
      <w:r w:rsidRPr="0011357D">
        <w:rPr>
          <w:rFonts w:asciiTheme="majorHAnsi" w:hAnsiTheme="majorHAnsi" w:cs="Times New Roman"/>
          <w:i/>
          <w:szCs w:val="21"/>
          <w:lang w:val="pt-BR"/>
        </w:rPr>
        <w:t>[...]</w:t>
      </w:r>
    </w:p>
    <w:p w:rsidR="00571F68" w:rsidRPr="0011357D" w:rsidRDefault="00571F68" w:rsidP="00571F68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Cs w:val="21"/>
          <w:lang w:val="pt-BR"/>
        </w:rPr>
      </w:pPr>
      <w:r w:rsidRPr="0011357D">
        <w:rPr>
          <w:rFonts w:asciiTheme="majorHAnsi" w:hAnsiTheme="majorHAnsi" w:cs="Times New Roman"/>
          <w:i/>
          <w:szCs w:val="21"/>
          <w:lang w:val="pt-BR"/>
        </w:rPr>
        <w:t>VIII - propor, apreciar e deliberar sobre questionamentos a atos já normatizados pelo CAU/BR referentes a:</w:t>
      </w:r>
    </w:p>
    <w:p w:rsidR="00571F68" w:rsidRPr="0011357D" w:rsidRDefault="00571F68" w:rsidP="00571F68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Cs w:val="21"/>
          <w:lang w:val="pt-BR"/>
        </w:rPr>
      </w:pPr>
      <w:r w:rsidRPr="0011357D">
        <w:rPr>
          <w:rFonts w:asciiTheme="majorHAnsi" w:hAnsiTheme="majorHAnsi" w:cs="Times New Roman"/>
          <w:i/>
          <w:szCs w:val="21"/>
          <w:lang w:val="pt-BR"/>
        </w:rPr>
        <w:t>[...]</w:t>
      </w:r>
    </w:p>
    <w:p w:rsidR="00571F68" w:rsidRPr="0011357D" w:rsidRDefault="00571F68" w:rsidP="00571F68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Cs w:val="21"/>
          <w:lang w:val="pt-BR"/>
        </w:rPr>
      </w:pPr>
      <w:r w:rsidRPr="0011357D">
        <w:rPr>
          <w:rFonts w:asciiTheme="majorHAnsi" w:hAnsiTheme="majorHAnsi" w:cs="Times New Roman"/>
          <w:i/>
          <w:szCs w:val="21"/>
          <w:lang w:val="pt-BR"/>
        </w:rPr>
        <w:t>d) requerimentos de Registro de Responsabilidade Técnica (RRT);</w:t>
      </w:r>
    </w:p>
    <w:p w:rsidR="00571F68" w:rsidRPr="0011357D" w:rsidRDefault="00571F68" w:rsidP="00571F68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Cs w:val="21"/>
          <w:lang w:val="pt-BR"/>
        </w:rPr>
      </w:pPr>
      <w:r w:rsidRPr="0011357D">
        <w:rPr>
          <w:rFonts w:asciiTheme="majorHAnsi" w:hAnsiTheme="majorHAnsi" w:cs="Times New Roman"/>
          <w:i/>
          <w:szCs w:val="21"/>
          <w:lang w:val="pt-BR"/>
        </w:rPr>
        <w:t>[...]</w:t>
      </w:r>
    </w:p>
    <w:p w:rsidR="00571F68" w:rsidRPr="0011357D" w:rsidRDefault="00571F68" w:rsidP="00571F68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Cs w:val="21"/>
          <w:lang w:val="pt-BR"/>
        </w:rPr>
      </w:pPr>
      <w:r w:rsidRPr="0011357D">
        <w:rPr>
          <w:rFonts w:asciiTheme="majorHAnsi" w:hAnsiTheme="majorHAnsi" w:cs="Times New Roman"/>
          <w:i/>
          <w:szCs w:val="21"/>
          <w:lang w:val="pt-BR"/>
        </w:rPr>
        <w:t>IX - apreciar e deliberar sobre propostas relacionadas a exercício profissional, encaminhadas pelo Colegiado de Entidades Estaduais de Arquitetos e Urbanistas do CAU/MG (CEAU- CAU/MG);</w:t>
      </w:r>
    </w:p>
    <w:p w:rsidR="00420EDE" w:rsidRPr="0011357D" w:rsidRDefault="00420EDE" w:rsidP="00420EDE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Cs w:val="21"/>
          <w:lang w:val="pt-BR"/>
        </w:rPr>
      </w:pPr>
    </w:p>
    <w:p w:rsidR="00420EDE" w:rsidRPr="0011357D" w:rsidRDefault="00420EDE" w:rsidP="00420EDE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Cs w:val="21"/>
          <w:lang w:val="pt-BR"/>
        </w:rPr>
      </w:pPr>
      <w:r w:rsidRPr="0011357D">
        <w:rPr>
          <w:rFonts w:asciiTheme="majorHAnsi" w:hAnsiTheme="majorHAnsi" w:cs="Times New Roman"/>
          <w:szCs w:val="21"/>
          <w:lang w:val="pt-BR"/>
        </w:rPr>
        <w:t>Considerando o artigo 96 do Regimento Interno do CAU/MG:</w:t>
      </w:r>
    </w:p>
    <w:p w:rsidR="00420EDE" w:rsidRPr="0011357D" w:rsidRDefault="00420EDE" w:rsidP="00420EDE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2"/>
          <w:szCs w:val="10"/>
          <w:lang w:val="pt-BR"/>
        </w:rPr>
      </w:pPr>
    </w:p>
    <w:p w:rsidR="00420EDE" w:rsidRPr="0011357D" w:rsidRDefault="00420EDE" w:rsidP="00420EDE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Cs w:val="21"/>
          <w:lang w:val="pt-BR"/>
        </w:rPr>
      </w:pPr>
      <w:r w:rsidRPr="0011357D">
        <w:rPr>
          <w:rFonts w:asciiTheme="majorHAnsi" w:hAnsiTheme="majorHAnsi" w:cs="Times New Roman"/>
          <w:i/>
          <w:szCs w:val="21"/>
          <w:lang w:val="pt-BR"/>
        </w:rPr>
        <w:t>Art. 8° O RRT, conforme se constitua de uma ou mais atividades técnicas, será feito sob uma das seguintes modalidades:</w:t>
      </w:r>
    </w:p>
    <w:p w:rsidR="00420EDE" w:rsidRPr="0011357D" w:rsidRDefault="00420EDE" w:rsidP="00420EDE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Cs w:val="21"/>
          <w:lang w:val="pt-BR"/>
        </w:rPr>
      </w:pPr>
      <w:r w:rsidRPr="0011357D">
        <w:rPr>
          <w:rFonts w:asciiTheme="majorHAnsi" w:hAnsiTheme="majorHAnsi" w:cs="Times New Roman"/>
          <w:i/>
          <w:szCs w:val="21"/>
          <w:lang w:val="pt-BR"/>
        </w:rPr>
        <w:t>[...]</w:t>
      </w:r>
    </w:p>
    <w:p w:rsidR="00420EDE" w:rsidRPr="0011357D" w:rsidRDefault="00420EDE" w:rsidP="00420EDE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Cs w:val="21"/>
          <w:lang w:val="pt-BR"/>
        </w:rPr>
      </w:pPr>
      <w:r w:rsidRPr="0011357D">
        <w:rPr>
          <w:rFonts w:asciiTheme="majorHAnsi" w:hAnsiTheme="majorHAnsi" w:cs="Times New Roman"/>
          <w:i/>
          <w:szCs w:val="21"/>
          <w:lang w:val="pt-BR"/>
        </w:rPr>
        <w:t>III - RRT Mínimo: quando constituir-se de atividades técnicas referentes a:</w:t>
      </w:r>
    </w:p>
    <w:p w:rsidR="00420EDE" w:rsidRPr="0011357D" w:rsidRDefault="00420EDE" w:rsidP="00420EDE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Cs w:val="21"/>
          <w:lang w:val="pt-BR"/>
        </w:rPr>
      </w:pPr>
      <w:r w:rsidRPr="0011357D">
        <w:rPr>
          <w:rFonts w:asciiTheme="majorHAnsi" w:hAnsiTheme="majorHAnsi" w:cs="Times New Roman"/>
          <w:i/>
          <w:szCs w:val="21"/>
          <w:lang w:val="pt-BR"/>
        </w:rPr>
        <w:t>a) edificação destinada ao uso residencial unifamiliar com área de construção total de até 70 m² (setenta metros quadrados);</w:t>
      </w:r>
    </w:p>
    <w:p w:rsidR="00420EDE" w:rsidRPr="0011357D" w:rsidRDefault="00420EDE" w:rsidP="00420EDE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Cs w:val="21"/>
          <w:lang w:val="pt-BR"/>
        </w:rPr>
      </w:pPr>
      <w:r w:rsidRPr="0011357D">
        <w:rPr>
          <w:rFonts w:asciiTheme="majorHAnsi" w:hAnsiTheme="majorHAnsi" w:cs="Times New Roman"/>
          <w:i/>
          <w:szCs w:val="21"/>
          <w:lang w:val="pt-BR"/>
        </w:rPr>
        <w:t>b) atividades técnicas de Arquitetura e Urbanismo vinculadas à produção habitacional que se enquadrem na Lei n° 11.124, de 16 de junho de 2005, ou na Lei n° 11.888, de 24 de dezembro de 2008, desde que vinculadas ao mesmo endereço do lote ou do conjunto habitacional;</w:t>
      </w:r>
    </w:p>
    <w:p w:rsidR="00AF57BF" w:rsidRPr="0011357D" w:rsidRDefault="00AF57BF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4"/>
          <w:highlight w:val="yellow"/>
          <w:lang w:val="pt-BR"/>
        </w:rPr>
      </w:pPr>
    </w:p>
    <w:p w:rsidR="00571F68" w:rsidRPr="0011357D" w:rsidRDefault="00571F68" w:rsidP="00571F68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Cs w:val="21"/>
          <w:lang w:val="pt-BR"/>
        </w:rPr>
      </w:pPr>
      <w:r w:rsidRPr="0011357D">
        <w:rPr>
          <w:rFonts w:asciiTheme="majorHAnsi" w:hAnsiTheme="majorHAnsi" w:cs="Times New Roman"/>
          <w:szCs w:val="21"/>
          <w:lang w:val="pt-BR"/>
        </w:rPr>
        <w:t>Considerando o Ofício 001-2019 da Associação Brasileira de Escritórios de Arquitetura</w:t>
      </w:r>
      <w:r w:rsidRPr="0011357D">
        <w:rPr>
          <w:sz w:val="24"/>
          <w:lang w:val="pt-BR"/>
        </w:rPr>
        <w:t xml:space="preserve"> </w:t>
      </w:r>
      <w:r w:rsidRPr="0011357D">
        <w:rPr>
          <w:rFonts w:asciiTheme="majorHAnsi" w:hAnsiTheme="majorHAnsi" w:cs="Times New Roman"/>
          <w:szCs w:val="21"/>
          <w:lang w:val="pt-BR"/>
        </w:rPr>
        <w:t>Regional Minas Gerias (</w:t>
      </w:r>
      <w:proofErr w:type="spellStart"/>
      <w:r w:rsidRPr="0011357D">
        <w:rPr>
          <w:rFonts w:asciiTheme="majorHAnsi" w:hAnsiTheme="majorHAnsi" w:cs="Times New Roman"/>
          <w:szCs w:val="21"/>
          <w:lang w:val="pt-BR"/>
        </w:rPr>
        <w:t>AsBEA</w:t>
      </w:r>
      <w:proofErr w:type="spellEnd"/>
      <w:r w:rsidRPr="0011357D">
        <w:rPr>
          <w:rFonts w:asciiTheme="majorHAnsi" w:hAnsiTheme="majorHAnsi" w:cs="Times New Roman"/>
          <w:szCs w:val="21"/>
          <w:lang w:val="pt-BR"/>
        </w:rPr>
        <w:t>-MG), encaminhado à Presidência do CAU/MG em 07 de fevereiro do mês corrente</w:t>
      </w:r>
      <w:r w:rsidR="00A36E93" w:rsidRPr="0011357D">
        <w:rPr>
          <w:rFonts w:asciiTheme="majorHAnsi" w:hAnsiTheme="majorHAnsi" w:cs="Times New Roman"/>
          <w:szCs w:val="21"/>
          <w:lang w:val="pt-BR"/>
        </w:rPr>
        <w:t>, cujo conteúdo apresenta sugestões de implementação na elaboração e apreçamento dos Registros de Responsabilidade Técnica (RRT) emitidos através do Sistema de Informação e Comunicação do Conselho de Arquitetura e Urbanismo (SICCAU);</w:t>
      </w:r>
    </w:p>
    <w:p w:rsidR="00571F68" w:rsidRPr="0011357D" w:rsidRDefault="00571F68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Cs w:val="21"/>
          <w:lang w:val="pt-BR"/>
        </w:rPr>
      </w:pPr>
    </w:p>
    <w:p w:rsidR="00420EDE" w:rsidRPr="0011357D" w:rsidRDefault="00420EDE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Cs w:val="21"/>
          <w:lang w:val="pt-BR"/>
        </w:rPr>
      </w:pPr>
    </w:p>
    <w:p w:rsidR="00420EDE" w:rsidRPr="0011357D" w:rsidRDefault="00420EDE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Cs w:val="21"/>
          <w:lang w:val="pt-BR"/>
        </w:rPr>
      </w:pPr>
    </w:p>
    <w:p w:rsidR="0008559A" w:rsidRPr="0011357D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Cs w:val="21"/>
          <w:lang w:val="pt-BR"/>
        </w:rPr>
      </w:pPr>
      <w:r w:rsidRPr="0011357D">
        <w:rPr>
          <w:rFonts w:asciiTheme="majorHAnsi" w:hAnsiTheme="majorHAnsi" w:cs="Times New Roman"/>
          <w:b/>
          <w:szCs w:val="21"/>
          <w:lang w:val="pt-BR"/>
        </w:rPr>
        <w:t>DELIBER</w:t>
      </w:r>
      <w:r w:rsidR="00A36E93" w:rsidRPr="0011357D">
        <w:rPr>
          <w:rFonts w:asciiTheme="majorHAnsi" w:hAnsiTheme="majorHAnsi" w:cs="Times New Roman"/>
          <w:b/>
          <w:szCs w:val="21"/>
          <w:lang w:val="pt-BR"/>
        </w:rPr>
        <w:t>A</w:t>
      </w:r>
      <w:r w:rsidR="003D63BE" w:rsidRPr="0011357D">
        <w:rPr>
          <w:rFonts w:asciiTheme="majorHAnsi" w:hAnsiTheme="majorHAnsi" w:cs="Times New Roman"/>
          <w:b/>
          <w:szCs w:val="21"/>
          <w:lang w:val="pt-BR"/>
        </w:rPr>
        <w:t>:</w:t>
      </w:r>
    </w:p>
    <w:p w:rsidR="0011357D" w:rsidRPr="0011357D" w:rsidRDefault="0011357D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Cs w:val="21"/>
          <w:lang w:val="pt-BR"/>
        </w:rPr>
      </w:pPr>
    </w:p>
    <w:p w:rsidR="00DD72B8" w:rsidRPr="0011357D" w:rsidRDefault="00DD72B8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Cs w:val="21"/>
          <w:lang w:val="pt-BR"/>
        </w:rPr>
      </w:pPr>
    </w:p>
    <w:p w:rsidR="0072797B" w:rsidRPr="0011357D" w:rsidRDefault="00A36E93" w:rsidP="00A36E93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szCs w:val="21"/>
          <w:lang w:val="pt-BR"/>
        </w:rPr>
      </w:pPr>
      <w:r w:rsidRPr="0011357D">
        <w:rPr>
          <w:rFonts w:asciiTheme="majorHAnsi" w:hAnsiTheme="majorHAnsi" w:cs="Times New Roman"/>
          <w:szCs w:val="21"/>
          <w:lang w:val="pt-BR"/>
        </w:rPr>
        <w:t>M</w:t>
      </w:r>
      <w:r w:rsidR="004B7346" w:rsidRPr="0011357D">
        <w:rPr>
          <w:rFonts w:asciiTheme="majorHAnsi" w:hAnsiTheme="majorHAnsi" w:cs="Times New Roman"/>
          <w:szCs w:val="21"/>
          <w:lang w:val="pt-BR"/>
        </w:rPr>
        <w:t>anifestar</w:t>
      </w:r>
      <w:r w:rsidRPr="0011357D">
        <w:rPr>
          <w:rFonts w:asciiTheme="majorHAnsi" w:hAnsiTheme="majorHAnsi" w:cs="Times New Roman"/>
          <w:szCs w:val="21"/>
          <w:lang w:val="pt-BR"/>
        </w:rPr>
        <w:t xml:space="preserve"> – incialmente – que esta Comissão entende as motivações</w:t>
      </w:r>
      <w:r w:rsidR="009B5900" w:rsidRPr="0011357D">
        <w:rPr>
          <w:rFonts w:asciiTheme="majorHAnsi" w:hAnsiTheme="majorHAnsi" w:cs="Times New Roman"/>
          <w:szCs w:val="21"/>
          <w:lang w:val="pt-BR"/>
        </w:rPr>
        <w:t xml:space="preserve"> </w:t>
      </w:r>
      <w:r w:rsidRPr="0011357D">
        <w:rPr>
          <w:rFonts w:asciiTheme="majorHAnsi" w:hAnsiTheme="majorHAnsi" w:cs="Times New Roman"/>
          <w:szCs w:val="21"/>
          <w:lang w:val="pt-BR"/>
        </w:rPr>
        <w:t xml:space="preserve">e parcialmente concorda com as solicitações </w:t>
      </w:r>
      <w:r w:rsidR="009B5900" w:rsidRPr="0011357D">
        <w:rPr>
          <w:rFonts w:asciiTheme="majorHAnsi" w:hAnsiTheme="majorHAnsi" w:cs="Times New Roman"/>
          <w:szCs w:val="21"/>
          <w:lang w:val="pt-BR"/>
        </w:rPr>
        <w:t>apresentadas, na forma dos itens que seguem.</w:t>
      </w:r>
    </w:p>
    <w:p w:rsidR="00DD72B8" w:rsidRPr="0011357D" w:rsidRDefault="00DD72B8" w:rsidP="00DD72B8">
      <w:pPr>
        <w:pStyle w:val="PargrafodaLista"/>
        <w:widowControl/>
        <w:spacing w:line="276" w:lineRule="auto"/>
        <w:ind w:left="426"/>
        <w:rPr>
          <w:rFonts w:asciiTheme="majorHAnsi" w:hAnsiTheme="majorHAnsi" w:cs="Times New Roman"/>
          <w:szCs w:val="21"/>
          <w:lang w:val="pt-BR"/>
        </w:rPr>
      </w:pPr>
    </w:p>
    <w:p w:rsidR="003509F8" w:rsidRPr="0011357D" w:rsidRDefault="00DD72B8" w:rsidP="00A36E93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szCs w:val="21"/>
          <w:lang w:val="pt-BR"/>
        </w:rPr>
      </w:pPr>
      <w:r w:rsidRPr="0011357D">
        <w:rPr>
          <w:rFonts w:asciiTheme="majorHAnsi" w:hAnsiTheme="majorHAnsi" w:cs="Times New Roman"/>
          <w:szCs w:val="21"/>
          <w:lang w:val="pt-BR"/>
        </w:rPr>
        <w:t xml:space="preserve">Esclarecer que existem limitações, mesmo no Plenário do CAU/BR, para alterar ou modular o preço dos RRTs (estabelecendo, como sugerido, percentuais sobre o valor inteiro do registro), uma vez que os preços seguem determinação da Lei Federal 12.378/2010 – sendo, portanto, anteriores ao CAU – que, em seu artigo 49, outorga que o preço do documento é o mesmo em todas as hipóteses, e que a flexibilidade necessária para apreçamento diferente depende de mudança na referida norma legal. Outras solicitações da mesma natureza já foram realizadas e, segundo informações </w:t>
      </w:r>
      <w:r w:rsidR="009B5900" w:rsidRPr="0011357D">
        <w:rPr>
          <w:rFonts w:asciiTheme="majorHAnsi" w:hAnsiTheme="majorHAnsi" w:cs="Times New Roman"/>
          <w:szCs w:val="21"/>
          <w:lang w:val="pt-BR"/>
        </w:rPr>
        <w:t>repassadas apenas verbalmente</w:t>
      </w:r>
      <w:r w:rsidRPr="0011357D">
        <w:rPr>
          <w:rFonts w:asciiTheme="majorHAnsi" w:hAnsiTheme="majorHAnsi" w:cs="Times New Roman"/>
          <w:szCs w:val="21"/>
          <w:lang w:val="pt-BR"/>
        </w:rPr>
        <w:t xml:space="preserve">, </w:t>
      </w:r>
      <w:r w:rsidR="003509F8" w:rsidRPr="0011357D">
        <w:rPr>
          <w:rFonts w:asciiTheme="majorHAnsi" w:hAnsiTheme="majorHAnsi" w:cs="Times New Roman"/>
          <w:szCs w:val="21"/>
          <w:lang w:val="pt-BR"/>
        </w:rPr>
        <w:t>esbarraram em pareceres jurídicos contrários.</w:t>
      </w:r>
    </w:p>
    <w:p w:rsidR="003509F8" w:rsidRPr="0011357D" w:rsidRDefault="003509F8" w:rsidP="003509F8">
      <w:pPr>
        <w:pStyle w:val="PargrafodaLista"/>
        <w:rPr>
          <w:rFonts w:asciiTheme="majorHAnsi" w:hAnsiTheme="majorHAnsi" w:cs="Times New Roman"/>
          <w:szCs w:val="21"/>
          <w:lang w:val="pt-BR"/>
        </w:rPr>
      </w:pPr>
    </w:p>
    <w:p w:rsidR="00DD72B8" w:rsidRPr="0011357D" w:rsidRDefault="003509F8" w:rsidP="00A36E93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szCs w:val="21"/>
          <w:lang w:val="pt-BR"/>
        </w:rPr>
      </w:pPr>
      <w:r w:rsidRPr="0011357D">
        <w:rPr>
          <w:rFonts w:asciiTheme="majorHAnsi" w:hAnsiTheme="majorHAnsi" w:cs="Times New Roman"/>
          <w:szCs w:val="21"/>
          <w:lang w:val="pt-BR"/>
        </w:rPr>
        <w:t>Sugerir à Presidência do CAU/MG que solicite a sua Gerência Jurídica manifestação acerca dos artigos 45 a 50 da Lei 12.3788/2010 para que, posteriormente encaminhe solicitação ao CAU/BR de uma manifestação formal sobre as possibilidades de modulação de valor sugeridas.</w:t>
      </w:r>
    </w:p>
    <w:p w:rsidR="00A36E93" w:rsidRPr="0011357D" w:rsidRDefault="00A36E93" w:rsidP="00A36E93">
      <w:pPr>
        <w:pStyle w:val="PargrafodaLista"/>
        <w:widowControl/>
        <w:spacing w:line="276" w:lineRule="auto"/>
        <w:ind w:left="426"/>
        <w:rPr>
          <w:rFonts w:asciiTheme="majorHAnsi" w:hAnsiTheme="majorHAnsi" w:cs="Times New Roman"/>
          <w:szCs w:val="21"/>
          <w:lang w:val="pt-BR"/>
        </w:rPr>
      </w:pPr>
    </w:p>
    <w:p w:rsidR="00420EDE" w:rsidRPr="0011357D" w:rsidRDefault="00A36E93" w:rsidP="00A36E93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szCs w:val="21"/>
          <w:lang w:val="pt-BR"/>
        </w:rPr>
      </w:pPr>
      <w:r w:rsidRPr="0011357D">
        <w:rPr>
          <w:rFonts w:asciiTheme="majorHAnsi" w:hAnsiTheme="majorHAnsi" w:cs="Times New Roman"/>
          <w:szCs w:val="21"/>
          <w:lang w:val="pt-BR"/>
        </w:rPr>
        <w:t xml:space="preserve">Informar à Presidência do CAU/MG e da </w:t>
      </w:r>
      <w:proofErr w:type="spellStart"/>
      <w:r w:rsidRPr="0011357D">
        <w:rPr>
          <w:rFonts w:asciiTheme="majorHAnsi" w:hAnsiTheme="majorHAnsi" w:cs="Times New Roman"/>
          <w:szCs w:val="21"/>
          <w:lang w:val="pt-BR"/>
        </w:rPr>
        <w:t>AsBEA</w:t>
      </w:r>
      <w:proofErr w:type="spellEnd"/>
      <w:r w:rsidRPr="0011357D">
        <w:rPr>
          <w:rFonts w:asciiTheme="majorHAnsi" w:hAnsiTheme="majorHAnsi" w:cs="Times New Roman"/>
          <w:szCs w:val="21"/>
          <w:lang w:val="pt-BR"/>
        </w:rPr>
        <w:t>-MG que está em andamento</w:t>
      </w:r>
      <w:r w:rsidR="00CE3382" w:rsidRPr="0011357D">
        <w:rPr>
          <w:rFonts w:asciiTheme="majorHAnsi" w:hAnsiTheme="majorHAnsi" w:cs="Times New Roman"/>
          <w:szCs w:val="21"/>
          <w:lang w:val="pt-BR"/>
        </w:rPr>
        <w:t xml:space="preserve"> (</w:t>
      </w:r>
      <w:r w:rsidRPr="0011357D">
        <w:rPr>
          <w:rFonts w:asciiTheme="majorHAnsi" w:hAnsiTheme="majorHAnsi" w:cs="Times New Roman"/>
          <w:szCs w:val="21"/>
          <w:lang w:val="pt-BR"/>
        </w:rPr>
        <w:t>apesar de atrasada, segundo os sucessivos calendários de atividades publicados pela CEP-CAU/BR</w:t>
      </w:r>
      <w:r w:rsidR="00CE3382" w:rsidRPr="0011357D">
        <w:rPr>
          <w:rFonts w:asciiTheme="majorHAnsi" w:hAnsiTheme="majorHAnsi" w:cs="Times New Roman"/>
          <w:szCs w:val="21"/>
          <w:lang w:val="pt-BR"/>
        </w:rPr>
        <w:t>)</w:t>
      </w:r>
      <w:r w:rsidRPr="0011357D">
        <w:rPr>
          <w:rFonts w:asciiTheme="majorHAnsi" w:hAnsiTheme="majorHAnsi" w:cs="Times New Roman"/>
          <w:szCs w:val="21"/>
          <w:lang w:val="pt-BR"/>
        </w:rPr>
        <w:t xml:space="preserve"> uma revisão aprofundada da Resolução</w:t>
      </w:r>
      <w:r w:rsidR="00CE3382" w:rsidRPr="0011357D">
        <w:rPr>
          <w:rFonts w:asciiTheme="majorHAnsi" w:hAnsiTheme="majorHAnsi" w:cs="Times New Roman"/>
          <w:szCs w:val="21"/>
          <w:lang w:val="pt-BR"/>
        </w:rPr>
        <w:t xml:space="preserve"> 91/2014, que já contempla grande parte das sugestões enviadas, notadamente </w:t>
      </w:r>
      <w:r w:rsidR="00420EDE" w:rsidRPr="0011357D">
        <w:rPr>
          <w:rFonts w:asciiTheme="majorHAnsi" w:hAnsiTheme="majorHAnsi" w:cs="Times New Roman"/>
          <w:szCs w:val="21"/>
          <w:lang w:val="pt-BR"/>
        </w:rPr>
        <w:t xml:space="preserve">a implementação do RRT Social, cujas características já abarcam </w:t>
      </w:r>
      <w:r w:rsidR="00CE3382" w:rsidRPr="0011357D">
        <w:rPr>
          <w:rFonts w:asciiTheme="majorHAnsi" w:hAnsiTheme="majorHAnsi" w:cs="Times New Roman"/>
          <w:szCs w:val="21"/>
          <w:lang w:val="pt-BR"/>
        </w:rPr>
        <w:t>o registro de múltiplos endereços e contratantes, além da possibilidade de inserção de atividades dos grupos 1 a 5 do artigo 3º da Resolução 21/2012 do CAU/BR</w:t>
      </w:r>
      <w:r w:rsidR="00420EDE" w:rsidRPr="0011357D">
        <w:rPr>
          <w:rFonts w:asciiTheme="majorHAnsi" w:hAnsiTheme="majorHAnsi" w:cs="Times New Roman"/>
          <w:szCs w:val="21"/>
          <w:lang w:val="pt-BR"/>
        </w:rPr>
        <w:t xml:space="preserve"> (no mesmo documento)</w:t>
      </w:r>
      <w:r w:rsidR="00CE3382" w:rsidRPr="0011357D">
        <w:rPr>
          <w:rFonts w:asciiTheme="majorHAnsi" w:hAnsiTheme="majorHAnsi" w:cs="Times New Roman"/>
          <w:szCs w:val="21"/>
          <w:lang w:val="pt-BR"/>
        </w:rPr>
        <w:t>;</w:t>
      </w:r>
    </w:p>
    <w:p w:rsidR="00420EDE" w:rsidRPr="0011357D" w:rsidRDefault="00420EDE" w:rsidP="00420EDE">
      <w:pPr>
        <w:pStyle w:val="PargrafodaLista"/>
        <w:rPr>
          <w:rFonts w:asciiTheme="majorHAnsi" w:hAnsiTheme="majorHAnsi" w:cs="Times New Roman"/>
          <w:szCs w:val="21"/>
          <w:lang w:val="pt-BR"/>
        </w:rPr>
      </w:pPr>
    </w:p>
    <w:p w:rsidR="00A36E93" w:rsidRPr="0011357D" w:rsidRDefault="00420EDE" w:rsidP="00A36E93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szCs w:val="21"/>
          <w:lang w:val="pt-BR"/>
        </w:rPr>
      </w:pPr>
      <w:r w:rsidRPr="0011357D">
        <w:rPr>
          <w:rFonts w:asciiTheme="majorHAnsi" w:hAnsiTheme="majorHAnsi" w:cs="Times New Roman"/>
          <w:szCs w:val="21"/>
          <w:lang w:val="pt-BR"/>
        </w:rPr>
        <w:t>Ressaltar que o RRT Mínimo, hoje vigente, que será substituído pelo RRT Social, tem como finalidade apenas ações sociais, segundo versa as alíneas ‘a’ e ‘b’ do inciso III do artigo 8</w:t>
      </w:r>
      <w:r w:rsidR="006C51A0" w:rsidRPr="0011357D">
        <w:rPr>
          <w:rFonts w:asciiTheme="majorHAnsi" w:hAnsiTheme="majorHAnsi" w:cs="Times New Roman"/>
          <w:szCs w:val="21"/>
          <w:lang w:val="pt-BR"/>
        </w:rPr>
        <w:t>º da Resolução 91/2014 do CAU/B</w:t>
      </w:r>
      <w:r w:rsidRPr="0011357D">
        <w:rPr>
          <w:rFonts w:asciiTheme="majorHAnsi" w:hAnsiTheme="majorHAnsi" w:cs="Times New Roman"/>
          <w:szCs w:val="21"/>
          <w:lang w:val="pt-BR"/>
        </w:rPr>
        <w:t xml:space="preserve">R, mencionado nas considerações supracitadas, não se vislumbrando a necessidade de duas modalidades de RRT com a mesma natureza. </w:t>
      </w:r>
    </w:p>
    <w:p w:rsidR="00420EDE" w:rsidRPr="0011357D" w:rsidRDefault="00420EDE" w:rsidP="00420EDE">
      <w:pPr>
        <w:pStyle w:val="PargrafodaLista"/>
        <w:rPr>
          <w:rFonts w:asciiTheme="majorHAnsi" w:hAnsiTheme="majorHAnsi" w:cs="Times New Roman"/>
          <w:szCs w:val="21"/>
          <w:lang w:val="pt-BR"/>
        </w:rPr>
      </w:pPr>
    </w:p>
    <w:p w:rsidR="00420EDE" w:rsidRPr="0011357D" w:rsidRDefault="00420EDE" w:rsidP="00A36E93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szCs w:val="21"/>
          <w:lang w:val="pt-BR"/>
        </w:rPr>
      </w:pPr>
      <w:r w:rsidRPr="0011357D">
        <w:rPr>
          <w:rFonts w:asciiTheme="majorHAnsi" w:hAnsiTheme="majorHAnsi" w:cs="Times New Roman"/>
          <w:szCs w:val="21"/>
          <w:lang w:val="pt-BR"/>
        </w:rPr>
        <w:t xml:space="preserve">Esclarecer que, ainda que </w:t>
      </w:r>
      <w:r w:rsidR="00ED3E61" w:rsidRPr="0011357D">
        <w:rPr>
          <w:rFonts w:asciiTheme="majorHAnsi" w:hAnsiTheme="majorHAnsi" w:cs="Times New Roman"/>
          <w:szCs w:val="21"/>
          <w:lang w:val="pt-BR"/>
        </w:rPr>
        <w:t>seja exigida a inserção de um endereço para elaboração do RRT, este não precisa necessariamente seguir o arquétipo rua-número-bairro-cidade</w:t>
      </w:r>
      <w:r w:rsidR="00DD72B8" w:rsidRPr="0011357D">
        <w:rPr>
          <w:rFonts w:asciiTheme="majorHAnsi" w:hAnsiTheme="majorHAnsi" w:cs="Times New Roman"/>
          <w:szCs w:val="21"/>
          <w:lang w:val="pt-BR"/>
        </w:rPr>
        <w:t>.</w:t>
      </w:r>
      <w:r w:rsidR="00ED3E61" w:rsidRPr="0011357D">
        <w:rPr>
          <w:rFonts w:asciiTheme="majorHAnsi" w:hAnsiTheme="majorHAnsi" w:cs="Times New Roman"/>
          <w:szCs w:val="21"/>
          <w:lang w:val="pt-BR"/>
        </w:rPr>
        <w:t xml:space="preserve"> Já é possível inserir, quando se tratar de atividades específicas, configurações diferentes (como área, conjunto, favela, loteamento, núcleo, setor, trecho, dentre outros)</w:t>
      </w:r>
      <w:r w:rsidR="006C51A0" w:rsidRPr="0011357D">
        <w:rPr>
          <w:rFonts w:asciiTheme="majorHAnsi" w:hAnsiTheme="majorHAnsi" w:cs="Times New Roman"/>
          <w:szCs w:val="21"/>
          <w:lang w:val="pt-BR"/>
        </w:rPr>
        <w:t>.</w:t>
      </w:r>
    </w:p>
    <w:p w:rsidR="00DD72B8" w:rsidRPr="0011357D" w:rsidRDefault="00DD72B8" w:rsidP="00DD72B8">
      <w:pPr>
        <w:pStyle w:val="PargrafodaLista"/>
        <w:rPr>
          <w:rFonts w:asciiTheme="majorHAnsi" w:hAnsiTheme="majorHAnsi" w:cs="Times New Roman"/>
          <w:szCs w:val="21"/>
          <w:lang w:val="pt-BR"/>
        </w:rPr>
      </w:pPr>
    </w:p>
    <w:p w:rsidR="009B5900" w:rsidRPr="0011357D" w:rsidRDefault="009B5900" w:rsidP="00625BDB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szCs w:val="21"/>
          <w:lang w:val="pt-BR"/>
        </w:rPr>
      </w:pPr>
      <w:r w:rsidRPr="0011357D">
        <w:rPr>
          <w:rFonts w:asciiTheme="majorHAnsi" w:hAnsiTheme="majorHAnsi" w:cs="Times New Roman"/>
          <w:szCs w:val="21"/>
          <w:lang w:val="pt-BR"/>
        </w:rPr>
        <w:t xml:space="preserve">Manifestar que a sugestões de vinculação de múltiplos responsáveis técnicos uma ou várias atividades técnicas já é possível, uma vez que é possível alterar a forma de participação, de ‘individual’ para ‘equipe’, nos moldes do artigo 7º </w:t>
      </w:r>
      <w:r w:rsidR="006C51A0" w:rsidRPr="0011357D">
        <w:rPr>
          <w:rFonts w:asciiTheme="majorHAnsi" w:hAnsiTheme="majorHAnsi" w:cs="Times New Roman"/>
          <w:szCs w:val="21"/>
          <w:lang w:val="pt-BR"/>
        </w:rPr>
        <w:t>da Resolução 91/2014 do CAU/BR, não estando a sugestão totalmente contemplada apenas no que se refere ao preço do RRT.</w:t>
      </w:r>
    </w:p>
    <w:p w:rsidR="006C51A0" w:rsidRPr="0011357D" w:rsidRDefault="006C51A0" w:rsidP="006C51A0">
      <w:pPr>
        <w:pStyle w:val="PargrafodaLista"/>
        <w:rPr>
          <w:rFonts w:asciiTheme="majorHAnsi" w:hAnsiTheme="majorHAnsi" w:cs="Times New Roman"/>
          <w:szCs w:val="21"/>
          <w:lang w:val="pt-BR"/>
        </w:rPr>
      </w:pPr>
    </w:p>
    <w:p w:rsidR="006C51A0" w:rsidRPr="0011357D" w:rsidRDefault="006C51A0" w:rsidP="006C51A0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szCs w:val="21"/>
          <w:lang w:val="pt-BR"/>
        </w:rPr>
      </w:pPr>
      <w:r w:rsidRPr="0011357D">
        <w:rPr>
          <w:rFonts w:asciiTheme="majorHAnsi" w:hAnsiTheme="majorHAnsi" w:cs="Times New Roman"/>
          <w:szCs w:val="21"/>
          <w:lang w:val="pt-BR"/>
        </w:rPr>
        <w:t>Informar que a inserção de atividades de grupos diferentes artigo 3º da Resolução 21/2012 do CAU/BR em um mesmo RRT também já está prevista na alteração da Resolução 91/2014, sugerindo-se que, em um mesmo documento, poderão ser anotados os grupos 1, 3 e 5, com exceção da atividade técnica 3.7 (Desempenho de Cargo ou Função Técnica).</w:t>
      </w:r>
    </w:p>
    <w:p w:rsidR="006C51A0" w:rsidRPr="0011357D" w:rsidRDefault="006C51A0" w:rsidP="006C51A0">
      <w:pPr>
        <w:pStyle w:val="PargrafodaLista"/>
        <w:rPr>
          <w:rFonts w:asciiTheme="majorHAnsi" w:hAnsiTheme="majorHAnsi" w:cs="Times New Roman"/>
          <w:szCs w:val="21"/>
          <w:lang w:val="pt-BR"/>
        </w:rPr>
      </w:pPr>
    </w:p>
    <w:p w:rsidR="00D650F6" w:rsidRPr="0011357D" w:rsidRDefault="00A36E93" w:rsidP="00D650F6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szCs w:val="21"/>
          <w:lang w:val="pt-BR"/>
        </w:rPr>
      </w:pPr>
      <w:r w:rsidRPr="0011357D">
        <w:rPr>
          <w:rFonts w:asciiTheme="majorHAnsi" w:hAnsiTheme="majorHAnsi" w:cs="Times New Roman"/>
          <w:szCs w:val="21"/>
          <w:lang w:val="pt-BR"/>
        </w:rPr>
        <w:lastRenderedPageBreak/>
        <w:t xml:space="preserve">Dar ciência à Presidência do CAU/MG e da </w:t>
      </w:r>
      <w:proofErr w:type="spellStart"/>
      <w:proofErr w:type="gramStart"/>
      <w:r w:rsidRPr="0011357D">
        <w:rPr>
          <w:rFonts w:asciiTheme="majorHAnsi" w:hAnsiTheme="majorHAnsi" w:cs="Times New Roman"/>
          <w:szCs w:val="21"/>
          <w:lang w:val="pt-BR"/>
        </w:rPr>
        <w:t>AsBEA</w:t>
      </w:r>
      <w:proofErr w:type="spellEnd"/>
      <w:r w:rsidRPr="0011357D">
        <w:rPr>
          <w:rFonts w:asciiTheme="majorHAnsi" w:hAnsiTheme="majorHAnsi" w:cs="Times New Roman"/>
          <w:szCs w:val="21"/>
          <w:lang w:val="pt-BR"/>
        </w:rPr>
        <w:t>-MG</w:t>
      </w:r>
      <w:proofErr w:type="gramEnd"/>
      <w:r w:rsidRPr="0011357D">
        <w:rPr>
          <w:rFonts w:asciiTheme="majorHAnsi" w:hAnsiTheme="majorHAnsi" w:cs="Times New Roman"/>
          <w:szCs w:val="21"/>
          <w:lang w:val="pt-BR"/>
        </w:rPr>
        <w:t xml:space="preserve"> da minuta mais recente (que esta Comissão tem conhecimento) da Resolução que substituirá da de nº 91/2014, acordada no Seminário realizado em Palmas/TO, em </w:t>
      </w:r>
      <w:r w:rsidR="00CE3382" w:rsidRPr="0011357D">
        <w:rPr>
          <w:rFonts w:asciiTheme="majorHAnsi" w:hAnsiTheme="majorHAnsi" w:cs="Times New Roman"/>
          <w:szCs w:val="21"/>
          <w:lang w:val="pt-BR"/>
        </w:rPr>
        <w:t>novembro de 2016</w:t>
      </w:r>
      <w:r w:rsidRPr="0011357D">
        <w:rPr>
          <w:rFonts w:asciiTheme="majorHAnsi" w:hAnsiTheme="majorHAnsi" w:cs="Times New Roman"/>
          <w:szCs w:val="21"/>
          <w:lang w:val="pt-BR"/>
        </w:rPr>
        <w:t xml:space="preserve">, do qual participaram a então Presidente e o Assessor </w:t>
      </w:r>
      <w:r w:rsidR="00CE3382" w:rsidRPr="0011357D">
        <w:rPr>
          <w:rFonts w:asciiTheme="majorHAnsi" w:hAnsiTheme="majorHAnsi" w:cs="Times New Roman"/>
          <w:szCs w:val="21"/>
          <w:lang w:val="pt-BR"/>
        </w:rPr>
        <w:t>da CEP-CAU/MG</w:t>
      </w:r>
      <w:r w:rsidRPr="0011357D">
        <w:rPr>
          <w:rFonts w:asciiTheme="majorHAnsi" w:hAnsiTheme="majorHAnsi" w:cs="Times New Roman"/>
          <w:szCs w:val="21"/>
          <w:lang w:val="pt-BR"/>
        </w:rPr>
        <w:t xml:space="preserve">, para que, além de inteirarem-se de seu conteúdo, </w:t>
      </w:r>
      <w:r w:rsidR="00CE3382" w:rsidRPr="0011357D">
        <w:rPr>
          <w:rFonts w:asciiTheme="majorHAnsi" w:hAnsiTheme="majorHAnsi" w:cs="Times New Roman"/>
          <w:szCs w:val="21"/>
          <w:lang w:val="pt-BR"/>
        </w:rPr>
        <w:t>possam propor outras alterações, enviando-as a esta</w:t>
      </w:r>
      <w:bookmarkStart w:id="0" w:name="_GoBack"/>
      <w:bookmarkEnd w:id="0"/>
      <w:r w:rsidR="00CE3382" w:rsidRPr="0011357D">
        <w:rPr>
          <w:rFonts w:asciiTheme="majorHAnsi" w:hAnsiTheme="majorHAnsi" w:cs="Times New Roman"/>
          <w:szCs w:val="21"/>
          <w:lang w:val="pt-BR"/>
        </w:rPr>
        <w:t xml:space="preserve"> Comissão para que sejam examinadas e, quando for retomada a discussão – o que esperamos ser o mais breve possível – possamos levá-las à instância federal dessa Autarquia.</w:t>
      </w:r>
    </w:p>
    <w:p w:rsidR="00D650F6" w:rsidRPr="0011357D" w:rsidRDefault="00D650F6" w:rsidP="00D650F6">
      <w:pPr>
        <w:pStyle w:val="PargrafodaLista"/>
        <w:rPr>
          <w:rFonts w:asciiTheme="majorHAnsi" w:hAnsiTheme="majorHAnsi" w:cs="Times New Roman"/>
          <w:szCs w:val="21"/>
          <w:lang w:val="pt-BR"/>
        </w:rPr>
      </w:pPr>
    </w:p>
    <w:p w:rsidR="00D650F6" w:rsidRPr="0011357D" w:rsidRDefault="00D650F6" w:rsidP="00D650F6">
      <w:pPr>
        <w:widowControl/>
        <w:spacing w:line="276" w:lineRule="auto"/>
        <w:jc w:val="right"/>
        <w:rPr>
          <w:rFonts w:asciiTheme="majorHAnsi" w:hAnsiTheme="majorHAnsi" w:cs="Times New Roman"/>
          <w:szCs w:val="21"/>
          <w:lang w:val="pt-BR"/>
        </w:rPr>
      </w:pPr>
      <w:r w:rsidRPr="0011357D">
        <w:rPr>
          <w:rFonts w:asciiTheme="majorHAnsi" w:hAnsiTheme="majorHAnsi" w:cs="Times New Roman"/>
          <w:szCs w:val="21"/>
          <w:lang w:val="pt-BR"/>
        </w:rPr>
        <w:t>Belo Horizonte, 11 de fevereiro de 2019.</w:t>
      </w:r>
    </w:p>
    <w:p w:rsidR="00764C93" w:rsidRPr="0011357D" w:rsidRDefault="00764C93" w:rsidP="00764C93">
      <w:pPr>
        <w:pStyle w:val="PargrafodaLista"/>
        <w:rPr>
          <w:rFonts w:asciiTheme="majorHAnsi" w:hAnsiTheme="majorHAnsi" w:cs="Times New Roman"/>
          <w:sz w:val="24"/>
          <w:szCs w:val="21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012"/>
        <w:gridCol w:w="1086"/>
        <w:gridCol w:w="1087"/>
        <w:gridCol w:w="1087"/>
        <w:gridCol w:w="3012"/>
      </w:tblGrid>
      <w:tr w:rsidR="00F535C9" w:rsidRPr="0011357D" w:rsidTr="0072797B">
        <w:trPr>
          <w:trHeight w:val="403"/>
          <w:jc w:val="center"/>
        </w:trPr>
        <w:tc>
          <w:tcPr>
            <w:tcW w:w="10284" w:type="dxa"/>
            <w:gridSpan w:val="5"/>
            <w:shd w:val="clear" w:color="auto" w:fill="BFBFBF"/>
            <w:vAlign w:val="center"/>
          </w:tcPr>
          <w:p w:rsidR="00F535C9" w:rsidRPr="00F32351" w:rsidRDefault="00F535C9" w:rsidP="00E16DD3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521E0B" w:rsidRPr="00F0304C" w:rsidTr="0072797B">
        <w:trPr>
          <w:trHeight w:val="397"/>
          <w:jc w:val="center"/>
        </w:trPr>
        <w:tc>
          <w:tcPr>
            <w:tcW w:w="4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</w:t>
            </w:r>
            <w:proofErr w:type="gramEnd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A) ESTADUAL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 FAVOR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CONTRA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ABSTENÇÃO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521E0B" w:rsidRPr="0011357D" w:rsidTr="00F535C9">
        <w:trPr>
          <w:trHeight w:val="597"/>
          <w:jc w:val="center"/>
        </w:trPr>
        <w:tc>
          <w:tcPr>
            <w:tcW w:w="4012" w:type="dxa"/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Cecília Fraga de 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m.</w:t>
            </w: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 Galvani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–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F535C9">
              <w:rPr>
                <w:rFonts w:asciiTheme="majorHAnsi" w:hAnsiTheme="majorHAnsi" w:cs="Times New Roman"/>
                <w:i/>
                <w:sz w:val="18"/>
                <w:szCs w:val="18"/>
              </w:rPr>
              <w:t>Coordenadora</w:t>
            </w:r>
          </w:p>
          <w:p w:rsidR="00521E0B" w:rsidRPr="00436E1D" w:rsidRDefault="00436E1D" w:rsidP="00BD7881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Ana Cec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í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lia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d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e Sousa Ramos Barros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11357D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 xml:space="preserve">Coord. </w:t>
            </w:r>
            <w:proofErr w:type="gramStart"/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Adjunto</w:t>
            </w:r>
            <w:proofErr w:type="gramEnd"/>
          </w:p>
          <w:p w:rsidR="00436E1D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436E1D">
              <w:rPr>
                <w:rFonts w:asciiTheme="majorHAnsi" w:hAnsiTheme="majorHAnsi" w:cs="Times New Roman"/>
                <w:sz w:val="18"/>
                <w:szCs w:val="17"/>
              </w:rPr>
              <w:t>Roccio Rouver Rosi Peres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11357D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900610" w:rsidRDefault="00436E1D" w:rsidP="00436E1D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Lazzarin</w:t>
            </w:r>
            <w:proofErr w:type="spellEnd"/>
          </w:p>
          <w:p w:rsidR="00F0304C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11357D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F0304C" w:rsidRPr="00436E1D" w:rsidRDefault="00436E1D" w:rsidP="00F535C9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11357D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1"/>
              </w:rPr>
              <w:t>Edwirges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 Sobreira Leal</w:t>
            </w:r>
          </w:p>
          <w:p w:rsidR="00521E0B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0871A5" w:rsidRPr="00A20F3D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"/>
          <w:szCs w:val="2"/>
          <w:lang w:val="pt-BR"/>
        </w:rPr>
      </w:pPr>
    </w:p>
    <w:sectPr w:rsidR="000871A5" w:rsidRPr="00A20F3D" w:rsidSect="00515CE3">
      <w:headerReference w:type="default" r:id="rId9"/>
      <w:footerReference w:type="default" r:id="rId10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11C" w:rsidRDefault="00AE211C" w:rsidP="007E22C9">
      <w:r>
        <w:separator/>
      </w:r>
    </w:p>
  </w:endnote>
  <w:endnote w:type="continuationSeparator" w:id="0">
    <w:p w:rsidR="00AE211C" w:rsidRDefault="00AE211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92FC91D" wp14:editId="0943016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11C" w:rsidRDefault="00AE211C" w:rsidP="007E22C9">
      <w:r>
        <w:separator/>
      </w:r>
    </w:p>
  </w:footnote>
  <w:footnote w:type="continuationSeparator" w:id="0">
    <w:p w:rsidR="00AE211C" w:rsidRDefault="00AE211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7EBEF16A" wp14:editId="7E4070AE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8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9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1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5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6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9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1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3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4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9"/>
  </w:num>
  <w:num w:numId="2">
    <w:abstractNumId w:val="33"/>
  </w:num>
  <w:num w:numId="3">
    <w:abstractNumId w:val="5"/>
  </w:num>
  <w:num w:numId="4">
    <w:abstractNumId w:val="18"/>
  </w:num>
  <w:num w:numId="5">
    <w:abstractNumId w:val="8"/>
  </w:num>
  <w:num w:numId="6">
    <w:abstractNumId w:val="4"/>
  </w:num>
  <w:num w:numId="7">
    <w:abstractNumId w:val="32"/>
  </w:num>
  <w:num w:numId="8">
    <w:abstractNumId w:val="1"/>
  </w:num>
  <w:num w:numId="9">
    <w:abstractNumId w:val="3"/>
  </w:num>
  <w:num w:numId="10">
    <w:abstractNumId w:val="17"/>
  </w:num>
  <w:num w:numId="11">
    <w:abstractNumId w:val="30"/>
  </w:num>
  <w:num w:numId="12">
    <w:abstractNumId w:val="9"/>
  </w:num>
  <w:num w:numId="13">
    <w:abstractNumId w:val="20"/>
  </w:num>
  <w:num w:numId="14">
    <w:abstractNumId w:val="34"/>
  </w:num>
  <w:num w:numId="15">
    <w:abstractNumId w:val="12"/>
  </w:num>
  <w:num w:numId="16">
    <w:abstractNumId w:val="28"/>
  </w:num>
  <w:num w:numId="17">
    <w:abstractNumId w:val="7"/>
  </w:num>
  <w:num w:numId="18">
    <w:abstractNumId w:val="14"/>
  </w:num>
  <w:num w:numId="19">
    <w:abstractNumId w:val="24"/>
  </w:num>
  <w:num w:numId="20">
    <w:abstractNumId w:val="11"/>
  </w:num>
  <w:num w:numId="21">
    <w:abstractNumId w:val="25"/>
  </w:num>
  <w:num w:numId="22">
    <w:abstractNumId w:val="0"/>
  </w:num>
  <w:num w:numId="23">
    <w:abstractNumId w:val="6"/>
  </w:num>
  <w:num w:numId="24">
    <w:abstractNumId w:val="31"/>
  </w:num>
  <w:num w:numId="25">
    <w:abstractNumId w:val="2"/>
  </w:num>
  <w:num w:numId="26">
    <w:abstractNumId w:val="26"/>
  </w:num>
  <w:num w:numId="27">
    <w:abstractNumId w:val="27"/>
  </w:num>
  <w:num w:numId="28">
    <w:abstractNumId w:val="22"/>
  </w:num>
  <w:num w:numId="29">
    <w:abstractNumId w:val="15"/>
  </w:num>
  <w:num w:numId="30">
    <w:abstractNumId w:val="16"/>
  </w:num>
  <w:num w:numId="31">
    <w:abstractNumId w:val="13"/>
  </w:num>
  <w:num w:numId="32">
    <w:abstractNumId w:val="10"/>
  </w:num>
  <w:num w:numId="33">
    <w:abstractNumId w:val="21"/>
  </w:num>
  <w:num w:numId="34">
    <w:abstractNumId w:val="29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21E63"/>
    <w:rsid w:val="00047DD5"/>
    <w:rsid w:val="0005336D"/>
    <w:rsid w:val="00054997"/>
    <w:rsid w:val="0008559A"/>
    <w:rsid w:val="000871A5"/>
    <w:rsid w:val="000A259B"/>
    <w:rsid w:val="000B0760"/>
    <w:rsid w:val="000B1835"/>
    <w:rsid w:val="000D6007"/>
    <w:rsid w:val="000F3838"/>
    <w:rsid w:val="000F538A"/>
    <w:rsid w:val="00102BCC"/>
    <w:rsid w:val="00107335"/>
    <w:rsid w:val="0011357D"/>
    <w:rsid w:val="00113CE6"/>
    <w:rsid w:val="00167BC0"/>
    <w:rsid w:val="001811CC"/>
    <w:rsid w:val="00182E2B"/>
    <w:rsid w:val="00191438"/>
    <w:rsid w:val="001A63D9"/>
    <w:rsid w:val="001A7EA3"/>
    <w:rsid w:val="001C4F4D"/>
    <w:rsid w:val="001E205C"/>
    <w:rsid w:val="001E790A"/>
    <w:rsid w:val="001F3E1A"/>
    <w:rsid w:val="001F7032"/>
    <w:rsid w:val="001F79A8"/>
    <w:rsid w:val="0021111F"/>
    <w:rsid w:val="00254A9D"/>
    <w:rsid w:val="00266909"/>
    <w:rsid w:val="0028590F"/>
    <w:rsid w:val="002B42D9"/>
    <w:rsid w:val="002C7838"/>
    <w:rsid w:val="002D3276"/>
    <w:rsid w:val="002E07B7"/>
    <w:rsid w:val="002E7999"/>
    <w:rsid w:val="00317974"/>
    <w:rsid w:val="00342427"/>
    <w:rsid w:val="003508F5"/>
    <w:rsid w:val="003509F8"/>
    <w:rsid w:val="00365686"/>
    <w:rsid w:val="00370790"/>
    <w:rsid w:val="00383161"/>
    <w:rsid w:val="003A3415"/>
    <w:rsid w:val="003C3452"/>
    <w:rsid w:val="003C6DE1"/>
    <w:rsid w:val="003D331E"/>
    <w:rsid w:val="003D63BE"/>
    <w:rsid w:val="003E6D01"/>
    <w:rsid w:val="003F4C5D"/>
    <w:rsid w:val="00420EDE"/>
    <w:rsid w:val="00436E1D"/>
    <w:rsid w:val="004455E5"/>
    <w:rsid w:val="004461F1"/>
    <w:rsid w:val="00452713"/>
    <w:rsid w:val="00456FC0"/>
    <w:rsid w:val="00472FBB"/>
    <w:rsid w:val="00477BE7"/>
    <w:rsid w:val="004B7346"/>
    <w:rsid w:val="004E4C07"/>
    <w:rsid w:val="004F30A6"/>
    <w:rsid w:val="004F7471"/>
    <w:rsid w:val="00515CE3"/>
    <w:rsid w:val="00521E0B"/>
    <w:rsid w:val="00534EF8"/>
    <w:rsid w:val="00542E03"/>
    <w:rsid w:val="00543310"/>
    <w:rsid w:val="005514F9"/>
    <w:rsid w:val="00553288"/>
    <w:rsid w:val="00561BF8"/>
    <w:rsid w:val="00571F68"/>
    <w:rsid w:val="0057329D"/>
    <w:rsid w:val="0059662F"/>
    <w:rsid w:val="005A0AFC"/>
    <w:rsid w:val="005C366A"/>
    <w:rsid w:val="005D1468"/>
    <w:rsid w:val="005F3D29"/>
    <w:rsid w:val="005F704D"/>
    <w:rsid w:val="00600DD6"/>
    <w:rsid w:val="00601495"/>
    <w:rsid w:val="006207B9"/>
    <w:rsid w:val="00626459"/>
    <w:rsid w:val="00632110"/>
    <w:rsid w:val="00690C50"/>
    <w:rsid w:val="006C121A"/>
    <w:rsid w:val="006C51A0"/>
    <w:rsid w:val="006C7CF0"/>
    <w:rsid w:val="006D3E06"/>
    <w:rsid w:val="00712340"/>
    <w:rsid w:val="00722E5D"/>
    <w:rsid w:val="0072797B"/>
    <w:rsid w:val="007509AB"/>
    <w:rsid w:val="00764C93"/>
    <w:rsid w:val="007653F2"/>
    <w:rsid w:val="00775760"/>
    <w:rsid w:val="007767A2"/>
    <w:rsid w:val="0079331E"/>
    <w:rsid w:val="007B26D1"/>
    <w:rsid w:val="007B58FE"/>
    <w:rsid w:val="007B6C99"/>
    <w:rsid w:val="007C285D"/>
    <w:rsid w:val="007D5854"/>
    <w:rsid w:val="007E22C9"/>
    <w:rsid w:val="007F461D"/>
    <w:rsid w:val="007F7F3C"/>
    <w:rsid w:val="00811CAD"/>
    <w:rsid w:val="008211CF"/>
    <w:rsid w:val="00831E38"/>
    <w:rsid w:val="00833B19"/>
    <w:rsid w:val="00844195"/>
    <w:rsid w:val="00856722"/>
    <w:rsid w:val="008772D4"/>
    <w:rsid w:val="008865D8"/>
    <w:rsid w:val="00894F54"/>
    <w:rsid w:val="008D4A78"/>
    <w:rsid w:val="008F4493"/>
    <w:rsid w:val="009111E4"/>
    <w:rsid w:val="009173F5"/>
    <w:rsid w:val="009310B5"/>
    <w:rsid w:val="0093454B"/>
    <w:rsid w:val="00940C7F"/>
    <w:rsid w:val="00952FCF"/>
    <w:rsid w:val="009560B1"/>
    <w:rsid w:val="00984CE8"/>
    <w:rsid w:val="009B5900"/>
    <w:rsid w:val="009C77EC"/>
    <w:rsid w:val="009D306D"/>
    <w:rsid w:val="00A05C20"/>
    <w:rsid w:val="00A20F3D"/>
    <w:rsid w:val="00A277A8"/>
    <w:rsid w:val="00A36E93"/>
    <w:rsid w:val="00A4006E"/>
    <w:rsid w:val="00A4108A"/>
    <w:rsid w:val="00A4135F"/>
    <w:rsid w:val="00A52666"/>
    <w:rsid w:val="00A70765"/>
    <w:rsid w:val="00A85C76"/>
    <w:rsid w:val="00A938E4"/>
    <w:rsid w:val="00A9403B"/>
    <w:rsid w:val="00AA0161"/>
    <w:rsid w:val="00AB6035"/>
    <w:rsid w:val="00AB6778"/>
    <w:rsid w:val="00AD1853"/>
    <w:rsid w:val="00AD7319"/>
    <w:rsid w:val="00AE211C"/>
    <w:rsid w:val="00AF57BF"/>
    <w:rsid w:val="00B00485"/>
    <w:rsid w:val="00B057F8"/>
    <w:rsid w:val="00B06964"/>
    <w:rsid w:val="00B304EA"/>
    <w:rsid w:val="00B37E86"/>
    <w:rsid w:val="00B549F3"/>
    <w:rsid w:val="00B62542"/>
    <w:rsid w:val="00B74695"/>
    <w:rsid w:val="00B7664E"/>
    <w:rsid w:val="00B8355D"/>
    <w:rsid w:val="00B95B3D"/>
    <w:rsid w:val="00BA24DE"/>
    <w:rsid w:val="00BA6DEA"/>
    <w:rsid w:val="00BC0830"/>
    <w:rsid w:val="00BC2B0C"/>
    <w:rsid w:val="00BF3D2B"/>
    <w:rsid w:val="00C13915"/>
    <w:rsid w:val="00C31DE6"/>
    <w:rsid w:val="00C370E9"/>
    <w:rsid w:val="00C6756C"/>
    <w:rsid w:val="00C72CEA"/>
    <w:rsid w:val="00C813DF"/>
    <w:rsid w:val="00C87546"/>
    <w:rsid w:val="00C91EA2"/>
    <w:rsid w:val="00CB224A"/>
    <w:rsid w:val="00CB35CB"/>
    <w:rsid w:val="00CD0073"/>
    <w:rsid w:val="00CE3382"/>
    <w:rsid w:val="00CE3824"/>
    <w:rsid w:val="00CE384F"/>
    <w:rsid w:val="00CE6BD1"/>
    <w:rsid w:val="00D02F33"/>
    <w:rsid w:val="00D20C72"/>
    <w:rsid w:val="00D613B4"/>
    <w:rsid w:val="00D650F6"/>
    <w:rsid w:val="00DA1E10"/>
    <w:rsid w:val="00DC3233"/>
    <w:rsid w:val="00DD72B8"/>
    <w:rsid w:val="00DF0793"/>
    <w:rsid w:val="00DF509B"/>
    <w:rsid w:val="00DF7588"/>
    <w:rsid w:val="00E11386"/>
    <w:rsid w:val="00E16345"/>
    <w:rsid w:val="00E21D57"/>
    <w:rsid w:val="00E42373"/>
    <w:rsid w:val="00E93252"/>
    <w:rsid w:val="00E93B84"/>
    <w:rsid w:val="00E95676"/>
    <w:rsid w:val="00EA3850"/>
    <w:rsid w:val="00EB3D37"/>
    <w:rsid w:val="00EC0509"/>
    <w:rsid w:val="00EC4C5B"/>
    <w:rsid w:val="00EC4FF6"/>
    <w:rsid w:val="00ED3DBE"/>
    <w:rsid w:val="00ED3E61"/>
    <w:rsid w:val="00F0304C"/>
    <w:rsid w:val="00F06051"/>
    <w:rsid w:val="00F07AD4"/>
    <w:rsid w:val="00F158CE"/>
    <w:rsid w:val="00F32351"/>
    <w:rsid w:val="00F442D9"/>
    <w:rsid w:val="00F535C9"/>
    <w:rsid w:val="00F56884"/>
    <w:rsid w:val="00F62D61"/>
    <w:rsid w:val="00F92BAF"/>
    <w:rsid w:val="00FC2456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paragraph" w:customStyle="1" w:styleId="Default">
    <w:name w:val="Default"/>
    <w:rsid w:val="00420EDE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paragraph" w:customStyle="1" w:styleId="Default">
    <w:name w:val="Default"/>
    <w:rsid w:val="00420EDE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938B0-DC9D-442F-BD3C-3143313A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3</Pages>
  <Words>1025</Words>
  <Characters>5535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85</cp:revision>
  <cp:lastPrinted>2018-01-25T16:29:00Z</cp:lastPrinted>
  <dcterms:created xsi:type="dcterms:W3CDTF">2017-01-23T15:34:00Z</dcterms:created>
  <dcterms:modified xsi:type="dcterms:W3CDTF">2019-02-19T20:07:00Z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