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31"/>
        <w:gridCol w:w="4393"/>
      </w:tblGrid>
      <w:tr w:rsidR="0008493E" w:rsidRPr="0021515D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77777777" w:rsidR="00D2110C" w:rsidRPr="0021515D" w:rsidRDefault="007D67C9" w:rsidP="005200CC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SÚMULA DA </w:t>
            </w:r>
            <w:r w:rsidR="00F83C81" w:rsidRPr="0021515D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  <w:r w:rsidR="005200CC" w:rsidRPr="0021515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D2110C" w:rsidRPr="0021515D">
              <w:rPr>
                <w:rFonts w:ascii="Times New Roman" w:hAnsi="Times New Roman" w:cs="Times New Roman"/>
                <w:b/>
                <w:color w:val="000000" w:themeColor="text1"/>
              </w:rPr>
              <w:t>ª REUNIÃO (ORDINÁRIA) DA</w:t>
            </w:r>
            <w:r w:rsidR="0000255F"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110C" w:rsidRPr="0021515D">
              <w:rPr>
                <w:rFonts w:ascii="Times New Roman" w:hAnsi="Times New Roman" w:cs="Times New Roman"/>
                <w:b/>
                <w:color w:val="000000" w:themeColor="text1"/>
              </w:rPr>
              <w:t>CO</w:t>
            </w: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MISSÃO </w:t>
            </w:r>
            <w:r w:rsidR="001C032C"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ESPECIAL </w:t>
            </w: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DE </w:t>
            </w:r>
            <w:r w:rsidR="00467D0E" w:rsidRPr="0021515D">
              <w:rPr>
                <w:rFonts w:ascii="Times New Roman" w:hAnsi="Times New Roman" w:cs="Times New Roman"/>
                <w:b/>
                <w:color w:val="000000" w:themeColor="text1"/>
              </w:rPr>
              <w:t>PATRIMÔNIO CULTURAL</w:t>
            </w:r>
            <w:r w:rsidR="00700D70"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CAU/MG</w:t>
            </w: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[</w:t>
            </w:r>
            <w:r w:rsidR="001C032C" w:rsidRPr="0021515D">
              <w:rPr>
                <w:rFonts w:ascii="Times New Roman" w:hAnsi="Times New Roman" w:cs="Times New Roman"/>
                <w:b/>
                <w:color w:val="000000" w:themeColor="text1"/>
              </w:rPr>
              <w:t>CPC</w:t>
            </w:r>
            <w:r w:rsidR="00D2110C" w:rsidRPr="0021515D">
              <w:rPr>
                <w:rFonts w:ascii="Times New Roman" w:hAnsi="Times New Roman" w:cs="Times New Roman"/>
                <w:b/>
                <w:color w:val="000000" w:themeColor="text1"/>
              </w:rPr>
              <w:t>-CAU/MG]</w:t>
            </w:r>
          </w:p>
        </w:tc>
      </w:tr>
      <w:tr w:rsidR="0008493E" w:rsidRPr="0021515D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21515D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8493E" w:rsidRPr="0021515D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21515D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2110C" w:rsidRPr="0021515D">
              <w:rPr>
                <w:rFonts w:ascii="Times New Roman" w:hAnsi="Times New Roman" w:cs="Times New Roman"/>
                <w:b/>
                <w:color w:val="000000" w:themeColor="text1"/>
              </w:rPr>
              <w:t>. LOCAL E DATA:</w:t>
            </w:r>
          </w:p>
        </w:tc>
      </w:tr>
      <w:tr w:rsidR="0008493E" w:rsidRPr="0021515D" w14:paraId="6F64020A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21515D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F640209" w14:textId="77777777" w:rsidR="00D2110C" w:rsidRPr="0021515D" w:rsidRDefault="006B434E" w:rsidP="005200C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200CC" w:rsidRPr="0021515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202FF" w:rsidRPr="002151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110C" w:rsidRPr="0021515D">
              <w:rPr>
                <w:rFonts w:ascii="Times New Roman" w:hAnsi="Times New Roman" w:cs="Times New Roman"/>
                <w:color w:val="000000" w:themeColor="text1"/>
              </w:rPr>
              <w:t xml:space="preserve">de </w:t>
            </w:r>
            <w:r w:rsidR="005200CC" w:rsidRPr="0021515D">
              <w:rPr>
                <w:rFonts w:ascii="Times New Roman" w:hAnsi="Times New Roman" w:cs="Times New Roman"/>
                <w:color w:val="000000" w:themeColor="text1"/>
              </w:rPr>
              <w:t>maio</w:t>
            </w:r>
            <w:r w:rsidR="008E294B" w:rsidRPr="002151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3A68" w:rsidRPr="0021515D">
              <w:rPr>
                <w:rFonts w:ascii="Times New Roman" w:hAnsi="Times New Roman" w:cs="Times New Roman"/>
                <w:color w:val="000000" w:themeColor="text1"/>
              </w:rPr>
              <w:t>de 2020</w:t>
            </w:r>
          </w:p>
        </w:tc>
      </w:tr>
      <w:tr w:rsidR="0008493E" w:rsidRPr="0021515D" w14:paraId="6F64020D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21515D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6F64020C" w14:textId="77777777" w:rsidR="00D2110C" w:rsidRPr="0021515D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08493E" w:rsidRPr="0021515D" w14:paraId="6F64021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21515D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77777777" w:rsidR="00D2110C" w:rsidRPr="0021515D" w:rsidRDefault="009205FB" w:rsidP="009205F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256F9" w:rsidRPr="0021515D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21515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A0E22" w:rsidRPr="0021515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2110C" w:rsidRPr="0021515D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4E2836" w:rsidRPr="002151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2E3F" w:rsidRPr="0021515D">
              <w:rPr>
                <w:rFonts w:ascii="Times New Roman" w:hAnsi="Times New Roman" w:cs="Times New Roman"/>
                <w:color w:val="000000" w:themeColor="text1"/>
              </w:rPr>
              <w:t xml:space="preserve">às </w:t>
            </w:r>
            <w:r w:rsidR="0082733B" w:rsidRPr="002151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F7DEF" w:rsidRPr="0021515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2733B" w:rsidRPr="0021515D">
              <w:rPr>
                <w:rFonts w:ascii="Times New Roman" w:hAnsi="Times New Roman" w:cs="Times New Roman"/>
                <w:color w:val="000000" w:themeColor="text1"/>
              </w:rPr>
              <w:t>h0</w:t>
            </w:r>
            <w:r w:rsidR="005B1BF4" w:rsidRPr="0021515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F56AC" w:rsidRPr="0021515D">
              <w:rPr>
                <w:rFonts w:ascii="Times New Roman" w:hAnsi="Times New Roman" w:cs="Times New Roman"/>
                <w:color w:val="000000" w:themeColor="text1"/>
              </w:rPr>
              <w:t>min</w:t>
            </w:r>
          </w:p>
        </w:tc>
      </w:tr>
      <w:tr w:rsidR="0008493E" w:rsidRPr="0021515D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21515D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8493E" w:rsidRPr="0021515D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21515D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08493E" w:rsidRPr="0021515D" w14:paraId="6F64021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21515D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F640216" w14:textId="15BC7317" w:rsidR="00D64312" w:rsidRPr="00D04A7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A72">
              <w:rPr>
                <w:rFonts w:ascii="Times New Roman" w:hAnsi="Times New Roman" w:cs="Times New Roman"/>
                <w:color w:val="000000" w:themeColor="text1"/>
              </w:rPr>
              <w:t>MARILIA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F640217" w14:textId="10E9A123" w:rsidR="00D64312" w:rsidRPr="00D04A7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A72">
              <w:rPr>
                <w:rFonts w:ascii="Times New Roman" w:hAnsi="Times New Roman" w:cs="Times New Roman"/>
                <w:color w:val="000000" w:themeColor="text1"/>
              </w:rPr>
              <w:t>Coordenadora da CPC-CAU/MG</w:t>
            </w:r>
          </w:p>
        </w:tc>
      </w:tr>
      <w:tr w:rsidR="0008493E" w:rsidRPr="0021515D" w14:paraId="6F64021C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F64021A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14:paraId="6F64021B" w14:textId="77777777" w:rsidR="002B735F" w:rsidRPr="0021515D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08493E" w:rsidRPr="0021515D" w14:paraId="6F64022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1D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14:paraId="6F64021E" w14:textId="77777777" w:rsidR="002B735F" w:rsidRPr="00D04A72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14:paraId="6F64021F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08493E" w:rsidRPr="0021515D" w14:paraId="6F640224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14:paraId="6F640222" w14:textId="4B0B3895" w:rsidR="00D64312" w:rsidRPr="00D04A7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A72">
              <w:rPr>
                <w:rFonts w:ascii="Times New Roman" w:hAnsi="Times New Roman" w:cs="Times New Roman"/>
                <w:color w:val="000000" w:themeColor="text1"/>
              </w:rPr>
              <w:t>MARIA EDWIGES SOBREIRA LEAL</w:t>
            </w:r>
          </w:p>
        </w:tc>
        <w:tc>
          <w:tcPr>
            <w:tcW w:w="4415" w:type="dxa"/>
            <w:vAlign w:val="center"/>
          </w:tcPr>
          <w:p w14:paraId="6F640223" w14:textId="08869BA0" w:rsidR="00D64312" w:rsidRPr="00D04A7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4A72">
              <w:rPr>
                <w:rFonts w:ascii="Times New Roman" w:hAnsi="Times New Roman" w:cs="Times New Roman"/>
                <w:color w:val="000000" w:themeColor="text1"/>
              </w:rPr>
              <w:t>Coordenador Adjunto da CPC-CAU/MG</w:t>
            </w:r>
          </w:p>
        </w:tc>
      </w:tr>
      <w:tr w:rsidR="0008493E" w:rsidRPr="0021515D" w14:paraId="6F640227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21515D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 xml:space="preserve">DIOGO UBALDO BRAGA </w:t>
            </w:r>
            <w:r w:rsidR="002B735F" w:rsidRPr="0021515D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21515D">
              <w:rPr>
                <w:rFonts w:ascii="Times New Roman" w:hAnsi="Times New Roman" w:cs="Times New Roman"/>
                <w:color w:val="000000" w:themeColor="text1"/>
              </w:rPr>
              <w:t>Assessor da CPC/MG e Arquiteto Analista</w:t>
            </w:r>
            <w:r w:rsidR="00BA0E22" w:rsidRPr="0021515D">
              <w:rPr>
                <w:rFonts w:ascii="Times New Roman" w:hAnsi="Times New Roman" w:cs="Times New Roman"/>
                <w:color w:val="000000" w:themeColor="text1"/>
              </w:rPr>
              <w:t xml:space="preserve"> do CAU/MG</w:t>
            </w:r>
          </w:p>
        </w:tc>
      </w:tr>
      <w:tr w:rsidR="0008493E" w:rsidRPr="0021515D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8493E" w:rsidRPr="0021515D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08493E" w:rsidRPr="0021515D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21515D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2D" w14:textId="77777777" w:rsidR="00244255" w:rsidRPr="0021515D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>Verificação do quórum;</w:t>
            </w:r>
          </w:p>
          <w:p w14:paraId="6F64022E" w14:textId="77777777" w:rsidR="00244255" w:rsidRPr="0021515D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493E" w:rsidRPr="0021515D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21515D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31" w14:textId="77777777" w:rsidR="002B735F" w:rsidRPr="0021515D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>Comunicados;</w:t>
            </w:r>
          </w:p>
          <w:p w14:paraId="6F640232" w14:textId="77777777" w:rsidR="007E50BF" w:rsidRPr="0021515D" w:rsidRDefault="007E50BF" w:rsidP="007E50BF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33" w14:textId="77777777" w:rsidR="002B735F" w:rsidRPr="0021515D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8493E" w:rsidRPr="0021515D" w14:paraId="6F640245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5" w14:textId="77777777" w:rsidR="002B735F" w:rsidRPr="0021515D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36" w14:textId="77777777" w:rsidR="002B735F" w:rsidRPr="0021515D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Discussões no âmbito da Comissão de </w:t>
            </w:r>
            <w:r w:rsidR="00FB6D34" w:rsidRPr="0021515D">
              <w:rPr>
                <w:rFonts w:ascii="Times New Roman" w:hAnsi="Times New Roman" w:cs="Times New Roman"/>
                <w:b/>
                <w:color w:val="000000" w:themeColor="text1"/>
              </w:rPr>
              <w:t>Patrimônio Cultural</w:t>
            </w: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CAU/MG;</w:t>
            </w:r>
          </w:p>
          <w:p w14:paraId="6F640237" w14:textId="77777777" w:rsidR="003F3530" w:rsidRPr="0021515D" w:rsidRDefault="003F3530" w:rsidP="003F3530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38" w14:textId="77777777" w:rsidR="005200CC" w:rsidRPr="0021515D" w:rsidRDefault="005200CC" w:rsidP="005200CC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3.1 Complementação de informações relativas ao Seminário Integrado CPC, Cathis e CPUA, previsto para ser realizado no dia 14 e 15 de setembro em Belo Horizonte, conforme solicitação por e-mail da Assessoria de Eventos no dia 17/04/2020.</w:t>
            </w:r>
          </w:p>
          <w:p w14:paraId="6F640239" w14:textId="77777777" w:rsidR="005200CC" w:rsidRPr="0021515D" w:rsidRDefault="005200CC" w:rsidP="005200CC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3A" w14:textId="77777777" w:rsidR="005200CC" w:rsidRPr="0021515D" w:rsidRDefault="005200CC" w:rsidP="005200CC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3.2 Revisão do status de realização dos eventos da CPC/MG, conforme solicitação da Gerente Geral em e-mail enviado no dia 13/04/2010.</w:t>
            </w:r>
          </w:p>
          <w:p w14:paraId="6F64023B" w14:textId="77777777" w:rsidR="005200CC" w:rsidRPr="0021515D" w:rsidRDefault="005200CC" w:rsidP="005200CC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3C" w14:textId="77777777" w:rsidR="005200CC" w:rsidRPr="0021515D" w:rsidRDefault="005200CC" w:rsidP="005200CC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3.3 Acompanhamento das ações da CPC/MG. </w:t>
            </w:r>
          </w:p>
          <w:p w14:paraId="6F64023D" w14:textId="77777777" w:rsidR="005200CC" w:rsidRPr="0021515D" w:rsidRDefault="005200CC" w:rsidP="005200CC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6F64023E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3.3.1 AÇÃO: 1.2.1.1 – ELENCAR PROJETOS DE LEI ESTADUAIS PARA A ATUAÇÃO DO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CAU/MG. </w:t>
            </w:r>
          </w:p>
          <w:p w14:paraId="6F64023F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AÇÃO: 1.5.5 – OFICINAS DE CAPACITAÇÃO EM PATRIMÔNIO CULTURAL PARA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>ÓRGÃOS DE ADMINISTRAÇÃO MUNICIPAL</w:t>
            </w:r>
          </w:p>
          <w:p w14:paraId="6F640240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AÇÃO: 2.2.4 – ELABORAR PROPOSTA DE CARTILHA SOBRE SERVIÇOS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PROFISSIONAIS EM PATRIMÔNIO CULTURAL. </w:t>
            </w:r>
          </w:p>
          <w:p w14:paraId="6F640241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AÇÃO: 3.1.8 – ELABORAR PROPOSTA DE EVENTO PARA O DIA NACIONAL DO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PATRIMÔNIO. </w:t>
            </w:r>
          </w:p>
          <w:p w14:paraId="6F640242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AÇÃO: 3.1.15 – ELABORAR PROPOSTA DE AÇÃO DE VALORIZAÇÃO DO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PATRIMÔNIO. </w:t>
            </w:r>
          </w:p>
          <w:p w14:paraId="6F640243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AÇÃO: (Ainda sem numeração no plano de ação do CAU/MG) – ELABORAR PANFLETO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ORIENTATIVO, DIRECIONADO A ÓRGÃOS PÚBLICOS, SOBRE A IMPORTÂNCIA DE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CONTRATAÇÃO DE ARQUITETO E URBANISTA PARA ATUAÇÃO NO PATRIMÔNIO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>CULTURAL.</w:t>
            </w:r>
          </w:p>
          <w:p w14:paraId="6F640244" w14:textId="77777777" w:rsidR="002B735F" w:rsidRPr="0021515D" w:rsidRDefault="002B735F" w:rsidP="003014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08493E" w:rsidRPr="0021515D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21515D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47" w14:textId="77777777" w:rsidR="002B735F" w:rsidRPr="0021515D" w:rsidRDefault="000326E0" w:rsidP="002517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>Encerramento.</w:t>
            </w:r>
          </w:p>
        </w:tc>
      </w:tr>
      <w:tr w:rsidR="0008493E" w:rsidRPr="0021515D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21515D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F64024A" w14:textId="77777777" w:rsidR="005200CC" w:rsidRPr="0021515D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F64024B" w14:textId="77777777" w:rsidR="005200CC" w:rsidRPr="0021515D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F64024C" w14:textId="77777777" w:rsidR="005200CC" w:rsidRPr="0021515D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8493E" w:rsidRPr="0021515D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21515D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21515D">
              <w:rPr>
                <w:rFonts w:ascii="Times New Roman" w:hAnsi="Times New Roman" w:cs="Times New Roman"/>
                <w:b/>
                <w:color w:val="000000" w:themeColor="text1"/>
              </w:rPr>
              <w:t>DETALHAMENTO DOS ASSUNTOS TRATADOS:</w:t>
            </w:r>
          </w:p>
        </w:tc>
      </w:tr>
    </w:tbl>
    <w:p w14:paraId="6F640250" w14:textId="77777777" w:rsidR="000871A5" w:rsidRPr="0021515D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08493E" w:rsidRPr="0021515D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21515D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21515D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1.Verificação de quórum</w:t>
            </w:r>
          </w:p>
        </w:tc>
      </w:tr>
      <w:tr w:rsidR="0008493E" w:rsidRPr="0021515D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21515D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77777777" w:rsidR="00BC2368" w:rsidRPr="0021515D" w:rsidRDefault="003D32A9" w:rsidP="0021515D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2"/>
                <w:szCs w:val="22"/>
              </w:rPr>
            </w:pP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Foram apregoados os membros desta Comissão às 10h</w:t>
            </w:r>
            <w:r w:rsidR="0021515D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</w:t>
            </w:r>
            <w:r w:rsidR="003F3530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0min</w:t>
            </w: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 foi verificado o quórum com a presença da Coordenadora da CPC-CAU/MG, </w:t>
            </w:r>
            <w:r w:rsidR="00F83C81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Marília Palhares Machado</w:t>
            </w: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F83C81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Coordenador</w:t>
            </w:r>
            <w:r w:rsidR="00F83C81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Adjunt</w:t>
            </w:r>
            <w:r w:rsidR="00F83C81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da CPC-CAU/M</w:t>
            </w:r>
            <w:r w:rsidR="006B434E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G, </w:t>
            </w:r>
            <w:r w:rsidR="00F83C81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Maria Edwiges Sobreira Leal e o </w:t>
            </w: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conselheir</w:t>
            </w:r>
            <w:r w:rsidR="00F83C81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</w:t>
            </w:r>
            <w:r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estadual</w:t>
            </w:r>
            <w:r w:rsidR="00F83C81" w:rsidRPr="002151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Ademir Nogueira de Ávila. </w:t>
            </w:r>
          </w:p>
        </w:tc>
      </w:tr>
    </w:tbl>
    <w:p w14:paraId="6F640257" w14:textId="77777777" w:rsidR="007766D2" w:rsidRPr="0021515D" w:rsidRDefault="007766D2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08493E" w:rsidRPr="0021515D" w14:paraId="6F64025A" w14:textId="77777777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21515D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9" w14:textId="77777777" w:rsidR="00150A2E" w:rsidRPr="0021515D" w:rsidRDefault="000326E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2.Comunicados</w:t>
            </w:r>
            <w:r w:rsidR="004C741B" w:rsidRPr="002151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8493E" w:rsidRPr="0021515D" w14:paraId="6F64025E" w14:textId="77777777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21515D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6F64025C" w14:textId="21E15EFF" w:rsidR="00FE24C4" w:rsidRPr="0021515D" w:rsidRDefault="00FE24C4" w:rsidP="001C525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 xml:space="preserve">A Conselheira </w:t>
            </w:r>
            <w:r w:rsidRPr="00D04A72">
              <w:rPr>
                <w:rFonts w:ascii="Times New Roman" w:hAnsi="Times New Roman" w:cs="Times New Roman"/>
                <w:color w:val="000000" w:themeColor="text1"/>
              </w:rPr>
              <w:t xml:space="preserve">MARIA EDWIGES SOBREIRA LEAL realizou breve relato sobre reunião virtual ocorrida no âmbito das </w:t>
            </w:r>
            <w:proofErr w:type="spellStart"/>
            <w:r w:rsidRPr="00D04A72">
              <w:rPr>
                <w:rFonts w:ascii="Times New Roman" w:hAnsi="Times New Roman" w:cs="Times New Roman"/>
                <w:color w:val="000000" w:themeColor="text1"/>
              </w:rPr>
              <w:t>CPCs</w:t>
            </w:r>
            <w:proofErr w:type="spellEnd"/>
            <w:r w:rsidRPr="00D04A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15EE6" w:rsidRPr="00D04A72">
              <w:rPr>
                <w:rFonts w:ascii="Times New Roman" w:hAnsi="Times New Roman" w:cs="Times New Roman"/>
                <w:color w:val="000000" w:themeColor="text1"/>
              </w:rPr>
              <w:t xml:space="preserve">com representantes de </w:t>
            </w:r>
            <w:r w:rsidRPr="0021515D">
              <w:rPr>
                <w:rFonts w:ascii="Times New Roman" w:hAnsi="Times New Roman" w:cs="Times New Roman"/>
                <w:color w:val="000000" w:themeColor="text1"/>
              </w:rPr>
              <w:t>vários Estados, (RS, PR, MG, SP, PE, MT)</w:t>
            </w:r>
            <w:r w:rsidR="00AF7BA8" w:rsidRPr="0021515D">
              <w:rPr>
                <w:rFonts w:ascii="Times New Roman" w:hAnsi="Times New Roman" w:cs="Times New Roman"/>
                <w:color w:val="000000" w:themeColor="text1"/>
              </w:rPr>
              <w:t xml:space="preserve"> no dia 22 de abril de 2020</w:t>
            </w:r>
            <w:r w:rsidRPr="0021515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F7BA8" w:rsidRPr="0021515D">
              <w:rPr>
                <w:rFonts w:ascii="Times New Roman" w:hAnsi="Times New Roman" w:cs="Times New Roman"/>
                <w:color w:val="000000" w:themeColor="text1"/>
              </w:rPr>
              <w:t xml:space="preserve">A Conselheira </w:t>
            </w:r>
            <w:r w:rsidR="00D64312" w:rsidRPr="00D04A72">
              <w:rPr>
                <w:rFonts w:ascii="Times New Roman" w:hAnsi="Times New Roman" w:cs="Times New Roman"/>
                <w:color w:val="000000" w:themeColor="text1"/>
              </w:rPr>
              <w:t>relatou</w:t>
            </w:r>
            <w:r w:rsidR="00D643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7BA8" w:rsidRPr="0021515D">
              <w:rPr>
                <w:rFonts w:ascii="Times New Roman" w:hAnsi="Times New Roman" w:cs="Times New Roman"/>
                <w:color w:val="000000" w:themeColor="text1"/>
              </w:rPr>
              <w:t xml:space="preserve">para os outros </w:t>
            </w:r>
            <w:r w:rsidR="00D64312" w:rsidRPr="00D04A72">
              <w:rPr>
                <w:rFonts w:ascii="Times New Roman" w:hAnsi="Times New Roman" w:cs="Times New Roman"/>
                <w:color w:val="000000" w:themeColor="text1"/>
              </w:rPr>
              <w:t>Estados</w:t>
            </w:r>
            <w:r w:rsidR="00D643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7BA8" w:rsidRPr="0021515D">
              <w:rPr>
                <w:rFonts w:ascii="Times New Roman" w:hAnsi="Times New Roman" w:cs="Times New Roman"/>
                <w:color w:val="000000" w:themeColor="text1"/>
              </w:rPr>
              <w:t xml:space="preserve">sobre a política de ICMS cultural existente em MG e sobre o edital conjunto com a ATHIS-CAU/MG no âmbito </w:t>
            </w:r>
            <w:r w:rsidR="00115EE6" w:rsidRPr="0021515D">
              <w:rPr>
                <w:rFonts w:ascii="Times New Roman" w:hAnsi="Times New Roman" w:cs="Times New Roman"/>
                <w:color w:val="000000" w:themeColor="text1"/>
              </w:rPr>
              <w:t>de Minas Gerais</w:t>
            </w:r>
            <w:r w:rsidR="00AF7BA8" w:rsidRPr="0021515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15EE6" w:rsidRPr="0021515D">
              <w:rPr>
                <w:rFonts w:ascii="Times New Roman" w:hAnsi="Times New Roman" w:cs="Times New Roman"/>
                <w:color w:val="000000" w:themeColor="text1"/>
              </w:rPr>
              <w:t xml:space="preserve">Relatou também sobre o Seminário Conjunto CPUA/CATHIS/CPC a ser realizado nos dias 14 e 15 de setembro e informou que houve o interesse das demais </w:t>
            </w:r>
            <w:proofErr w:type="spellStart"/>
            <w:r w:rsidR="00115EE6" w:rsidRPr="0021515D">
              <w:rPr>
                <w:rFonts w:ascii="Times New Roman" w:hAnsi="Times New Roman" w:cs="Times New Roman"/>
                <w:color w:val="000000" w:themeColor="text1"/>
              </w:rPr>
              <w:t>CPCs</w:t>
            </w:r>
            <w:proofErr w:type="spellEnd"/>
            <w:r w:rsidR="00115EE6" w:rsidRPr="0021515D">
              <w:rPr>
                <w:rFonts w:ascii="Times New Roman" w:hAnsi="Times New Roman" w:cs="Times New Roman"/>
                <w:color w:val="000000" w:themeColor="text1"/>
              </w:rPr>
              <w:t xml:space="preserve"> de participarem deste seminário, sendo sugerida a realização de reunião nacional das </w:t>
            </w:r>
            <w:proofErr w:type="spellStart"/>
            <w:r w:rsidR="00115EE6" w:rsidRPr="0021515D">
              <w:rPr>
                <w:rFonts w:ascii="Times New Roman" w:hAnsi="Times New Roman" w:cs="Times New Roman"/>
                <w:color w:val="000000" w:themeColor="text1"/>
              </w:rPr>
              <w:t>CPCs</w:t>
            </w:r>
            <w:proofErr w:type="spellEnd"/>
            <w:r w:rsidR="00115EE6" w:rsidRPr="0021515D">
              <w:rPr>
                <w:rFonts w:ascii="Times New Roman" w:hAnsi="Times New Roman" w:cs="Times New Roman"/>
                <w:color w:val="000000" w:themeColor="text1"/>
              </w:rPr>
              <w:t xml:space="preserve"> no dia seguinte a este, 16 de setembro de 2020. </w:t>
            </w:r>
            <w:r w:rsidR="004A17BE" w:rsidRPr="0021515D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21515D">
              <w:rPr>
                <w:rFonts w:ascii="Times New Roman" w:hAnsi="Times New Roman" w:cs="Times New Roman"/>
                <w:color w:val="000000" w:themeColor="text1"/>
              </w:rPr>
              <w:t xml:space="preserve"> relato</w:t>
            </w:r>
            <w:r w:rsidR="004A17BE" w:rsidRPr="0021515D">
              <w:rPr>
                <w:rFonts w:ascii="Times New Roman" w:hAnsi="Times New Roman" w:cs="Times New Roman"/>
                <w:color w:val="000000" w:themeColor="text1"/>
              </w:rPr>
              <w:t xml:space="preserve"> completo da reunião se encontra no link: </w:t>
            </w:r>
            <w:hyperlink r:id="rId8" w:history="1">
              <w:r w:rsidR="004A17BE" w:rsidRPr="0021515D">
                <w:rPr>
                  <w:rFonts w:ascii="Times New Roman" w:hAnsi="Times New Roman" w:cs="Times New Roman"/>
                  <w:color w:val="000000" w:themeColor="text1"/>
                </w:rPr>
                <w:t>https://www.caurs.gov.br/encontro-das-comissoes-de-patrimonio-cultural/</w:t>
              </w:r>
            </w:hyperlink>
            <w:r w:rsidR="004A17BE" w:rsidRPr="002151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F64025D" w14:textId="77777777" w:rsidR="008A6C87" w:rsidRPr="0021515D" w:rsidRDefault="008A6C87" w:rsidP="00FE24C4">
            <w:pPr>
              <w:widowControl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6F64025F" w14:textId="77777777" w:rsidR="00D47128" w:rsidRPr="0021515D" w:rsidRDefault="00D47128" w:rsidP="0030141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14:paraId="6F640260" w14:textId="77777777" w:rsidR="00C67605" w:rsidRPr="0021515D" w:rsidRDefault="00272E99" w:rsidP="0030141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21515D">
        <w:rPr>
          <w:rFonts w:ascii="Times New Roman" w:hAnsi="Times New Roman" w:cs="Times New Roman"/>
          <w:b/>
          <w:color w:val="000000" w:themeColor="text1"/>
        </w:rPr>
        <w:t>Discussões no âmbito da Comissão de</w:t>
      </w:r>
      <w:r w:rsidR="006019BD" w:rsidRPr="0021515D">
        <w:rPr>
          <w:rFonts w:ascii="Times New Roman" w:hAnsi="Times New Roman" w:cs="Times New Roman"/>
          <w:b/>
          <w:color w:val="000000" w:themeColor="text1"/>
        </w:rPr>
        <w:t xml:space="preserve"> Patrimônio Cultural</w:t>
      </w:r>
      <w:r w:rsidRPr="0021515D">
        <w:rPr>
          <w:rFonts w:ascii="Times New Roman" w:hAnsi="Times New Roman" w:cs="Times New Roman"/>
          <w:b/>
          <w:color w:val="000000" w:themeColor="text1"/>
        </w:rPr>
        <w:t xml:space="preserve"> do CAU/MG;</w:t>
      </w:r>
    </w:p>
    <w:p w14:paraId="6F640261" w14:textId="77777777" w:rsidR="001C5251" w:rsidRPr="0021515D" w:rsidRDefault="001C5251" w:rsidP="001C525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08493E" w:rsidRPr="0021515D" w14:paraId="6F640265" w14:textId="77777777" w:rsidTr="008A09A5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62" w14:textId="77777777" w:rsidR="001C5251" w:rsidRPr="0021515D" w:rsidRDefault="001C5251" w:rsidP="00BC43B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14:paraId="6F640263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3.1 Complementação de informações relativas ao Seminário Integrado CPC, Cathis e CPUA, previsto para ser realizado no dia 14 e 15 de setembro em Belo Horizonte, conforme solicitação por e-mail da Assessoria de Eventos no dia 17/04/2020.</w:t>
            </w:r>
          </w:p>
          <w:p w14:paraId="6F640264" w14:textId="77777777" w:rsidR="001C5251" w:rsidRPr="0021515D" w:rsidRDefault="001C5251" w:rsidP="00BC43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t-BR"/>
              </w:rPr>
            </w:pPr>
          </w:p>
        </w:tc>
      </w:tr>
      <w:tr w:rsidR="0008493E" w:rsidRPr="0021515D" w14:paraId="6F640287" w14:textId="77777777" w:rsidTr="008A09A5">
        <w:trPr>
          <w:trHeight w:val="12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F640266" w14:textId="77777777" w:rsidR="001C5251" w:rsidRPr="0021515D" w:rsidRDefault="001C5251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6F640267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Indicação de palestrantes do evento Seminário Integrado CPC, Cathis e CPUA, previsto para ser realizado no dia 14 e 15 de setembro em Belo Horizonte. Informação é necessária para o levantamento de custos.</w:t>
            </w:r>
          </w:p>
          <w:p w14:paraId="6F640268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69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Resposta da CPC/MG:</w:t>
            </w:r>
          </w:p>
          <w:p w14:paraId="6F64026A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6B" w14:textId="77777777" w:rsidR="006977FB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CPC/MG sugere uma nova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programação 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para o evento e solicita reunião conjunta entre as comissões no dia 01/06/2020: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</w:p>
          <w:p w14:paraId="6F64026C" w14:textId="77777777" w:rsidR="006977FB" w:rsidRPr="0021515D" w:rsidRDefault="006977FB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6D" w14:textId="77777777" w:rsidR="008A09A5" w:rsidRPr="0021515D" w:rsidRDefault="008A09A5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Eixo </w:t>
            </w:r>
            <w:r w:rsidR="001A3153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Temático: Patrimônio Cultural e suas transversalidades.</w:t>
            </w:r>
          </w:p>
          <w:p w14:paraId="6F64026E" w14:textId="77777777" w:rsidR="008A09A5" w:rsidRPr="0021515D" w:rsidRDefault="008A09A5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6F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1° dia – 14 de setembro </w:t>
            </w:r>
          </w:p>
          <w:p w14:paraId="6F640270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19h – Mesa de abertura;</w:t>
            </w:r>
          </w:p>
          <w:p w14:paraId="6F640271" w14:textId="77777777" w:rsidR="00FC6E66" w:rsidRPr="0021515D" w:rsidRDefault="001A3153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19h10 – Palestra magna. Não há ainda indicação</w:t>
            </w:r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definitiva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nome, no entanto, para fins de orçamento, considerar</w:t>
            </w:r>
            <w:r w:rsidR="00FC6E6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palestrante de fora de Belo Horizonte</w:t>
            </w:r>
            <w:r w:rsidR="00391B55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, chegando dia 14 e retornando dia 1</w:t>
            </w:r>
            <w:r w:rsidR="002A52D7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03317C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 período da tarde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03317C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Este palestrante do dia 14 será o mediador no dia 15.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A52D7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Sugestão</w:t>
            </w:r>
            <w:r w:rsidR="0003317C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nome</w:t>
            </w:r>
            <w:r w:rsidR="002A52D7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: Sônia Rabello.</w:t>
            </w:r>
          </w:p>
          <w:p w14:paraId="6F640272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91B55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21h30 – Fim do evento neste dia. </w:t>
            </w:r>
          </w:p>
          <w:p w14:paraId="6F640273" w14:textId="77777777" w:rsidR="00391B55" w:rsidRPr="0021515D" w:rsidRDefault="00391B55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74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2° dia - 15 de setembro </w:t>
            </w:r>
          </w:p>
          <w:p w14:paraId="6F640275" w14:textId="77777777" w:rsidR="00AA5AF4" w:rsidRPr="0021515D" w:rsidRDefault="008B773A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  <w:r w:rsidR="00FC6E6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Mesa redonda</w:t>
            </w:r>
            <w:r w:rsidR="00FC6E6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com </w:t>
            </w:r>
            <w:r w:rsidR="002A52D7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três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palestrantes e um </w:t>
            </w:r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mediador</w:t>
            </w:r>
            <w:r w:rsidR="00FC6E6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CPC</w:t>
            </w:r>
            <w:r w:rsidR="00FC6E6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-CAU/MG;</w:t>
            </w:r>
          </w:p>
          <w:p w14:paraId="6F640276" w14:textId="77777777" w:rsidR="00767648" w:rsidRPr="0021515D" w:rsidRDefault="008B773A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0- Primeiro palestrante</w:t>
            </w:r>
            <w:r w:rsidR="008A09A5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(eixo </w:t>
            </w:r>
            <w:proofErr w:type="spellStart"/>
            <w:r w:rsidR="008A09A5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Patrimômio</w:t>
            </w:r>
            <w:proofErr w:type="spellEnd"/>
            <w:r w:rsidR="008A09A5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Cultural)</w:t>
            </w:r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. Não há ainda indicação definitiva de nome, no entanto, para fins de orçamento, considerar palestrante de Belo Horizonte.</w:t>
            </w:r>
            <w:r w:rsidR="002A52D7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Sugestão de nome: Leonardo </w:t>
            </w:r>
            <w:proofErr w:type="spellStart"/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Castriota</w:t>
            </w:r>
            <w:proofErr w:type="spellEnd"/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14:paraId="6F640277" w14:textId="77777777" w:rsidR="00767648" w:rsidRPr="0021515D" w:rsidRDefault="008B773A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767648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0- Segundo palestrante</w:t>
            </w:r>
            <w:r w:rsidR="008A09A5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(eixo Habitação Social)</w:t>
            </w:r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. Nome de palestrante de indicação da CATHIS-CAU/MG. Sugestão da CPC/MG é que se consi</w:t>
            </w:r>
            <w:r w:rsidR="00D604CA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ere um palestrante de Belo Horizonte. </w:t>
            </w:r>
          </w:p>
          <w:p w14:paraId="6F640278" w14:textId="77777777" w:rsidR="008B773A" w:rsidRPr="0021515D" w:rsidRDefault="008B773A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10h30 – Terceiro palestrante</w:t>
            </w:r>
            <w:r w:rsidR="008A09A5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(eixo Pla</w:t>
            </w:r>
            <w:r w:rsidR="00AA5AF4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nejamento Urbano).</w:t>
            </w:r>
            <w:r w:rsidR="00D604CA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Nome de palestrante de indicação da CPUA-CAU/MG. Sugestão da CPC/MG é que se considere um palestrante de Belo Horizonte.</w:t>
            </w:r>
          </w:p>
          <w:p w14:paraId="6F640279" w14:textId="77777777" w:rsidR="00767648" w:rsidRPr="0021515D" w:rsidRDefault="00767648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B773A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8B773A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  <w:r w:rsidR="008B773A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Debate com os presentes direcionado pelo mediador </w:t>
            </w:r>
          </w:p>
          <w:p w14:paraId="6F64027A" w14:textId="77777777" w:rsidR="00767648" w:rsidRPr="0021515D" w:rsidRDefault="00767648" w:rsidP="0076764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12h</w:t>
            </w:r>
            <w:r w:rsidR="00D604CA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0 - Intervalo para almoço;</w:t>
            </w:r>
          </w:p>
          <w:p w14:paraId="6F64027B" w14:textId="77777777" w:rsidR="00767648" w:rsidRPr="0021515D" w:rsidRDefault="00767648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7C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B402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FB402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– </w:t>
            </w:r>
            <w:r w:rsidR="00FB402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Retorno do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almoço;</w:t>
            </w:r>
          </w:p>
          <w:p w14:paraId="6F64027D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B402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FB402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0 – Workshop/mesa redonda;</w:t>
            </w:r>
          </w:p>
          <w:p w14:paraId="6F64027E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16h30 – Produção do relatório final;</w:t>
            </w:r>
          </w:p>
          <w:p w14:paraId="6F64027F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18h00 – Encerramento.</w:t>
            </w:r>
          </w:p>
          <w:p w14:paraId="6F640280" w14:textId="77777777" w:rsidR="00FB4026" w:rsidRPr="0021515D" w:rsidRDefault="00FB402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81" w14:textId="77777777" w:rsidR="00FB4026" w:rsidRPr="0021515D" w:rsidRDefault="00FB4026" w:rsidP="00FB402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3° dia - 16 de setembro -  Reunião Nacional das </w:t>
            </w:r>
            <w:proofErr w:type="spellStart"/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CPCs</w:t>
            </w:r>
            <w:proofErr w:type="spellEnd"/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F640282" w14:textId="77777777" w:rsidR="00FB4026" w:rsidRPr="0021515D" w:rsidRDefault="00FB4026" w:rsidP="00FB402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9h30 – Início da reunião.</w:t>
            </w:r>
          </w:p>
          <w:p w14:paraId="6F640283" w14:textId="77777777" w:rsidR="00115EE6" w:rsidRPr="0021515D" w:rsidRDefault="00FB4026" w:rsidP="00FB402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12h30 – Fim da reuni</w:t>
            </w:r>
            <w:r w:rsidR="00115EE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ão com a redação de documento de manifestação: Carta de Minas Gerais.</w:t>
            </w:r>
          </w:p>
          <w:p w14:paraId="6F640284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640285" w14:textId="77777777" w:rsidR="00FC6E66" w:rsidRPr="0021515D" w:rsidRDefault="00FC6E66" w:rsidP="00FC6E6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Resposta sobre se as palestras temáticas serão ministradas por vocês conselheiros ou convidados. </w:t>
            </w:r>
          </w:p>
          <w:p w14:paraId="6F640286" w14:textId="77777777" w:rsidR="00FC6E66" w:rsidRPr="0021515D" w:rsidRDefault="00FC6E66" w:rsidP="00FB402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>Resposta da CPC/MG:</w:t>
            </w:r>
            <w:r w:rsidR="00FB4026" w:rsidRPr="002151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Serão ministradas por convidados indicados, conforme discriminação acima. </w:t>
            </w:r>
          </w:p>
        </w:tc>
      </w:tr>
    </w:tbl>
    <w:p w14:paraId="6F640288" w14:textId="77777777" w:rsidR="001B3329" w:rsidRPr="0021515D" w:rsidRDefault="001B3329" w:rsidP="001B332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08493E" w:rsidRPr="0021515D" w14:paraId="6F64028B" w14:textId="77777777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89" w14:textId="77777777" w:rsidR="001B3329" w:rsidRPr="0021515D" w:rsidRDefault="001B3329" w:rsidP="00BC43B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8A" w14:textId="77777777" w:rsidR="001B3329" w:rsidRPr="0021515D" w:rsidRDefault="005200CC" w:rsidP="004A17B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3.2 Revisão do status de realização dos eventos da CPC/MG, conforme solicitação da Gerente Geral em e-mail enviado no dia 13/04/2010.</w:t>
            </w:r>
          </w:p>
        </w:tc>
      </w:tr>
      <w:tr w:rsidR="0008493E" w:rsidRPr="0021515D" w14:paraId="6F64029A" w14:textId="77777777" w:rsidTr="00BC43B2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8C" w14:textId="77777777" w:rsidR="001B3329" w:rsidRPr="0021515D" w:rsidRDefault="001B3329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8D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AÇÃO: 1.5.5 – OFICINAS DE CAPACITAÇÃO EM PATRIMÔNIO CULTURAL PARA ÓRGÃOS DE ADMINISTRAÇÃO MUNICIPAL</w:t>
            </w:r>
          </w:p>
          <w:p w14:paraId="6F64028E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8F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3.1.1.1 São João Del Rey no dia 10/03/2020.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(Status: Realizado.)</w:t>
            </w:r>
          </w:p>
          <w:p w14:paraId="6F640290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3.1.1.2 Lavras no dia 28/04/2020.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(Status: Cancelado.)</w:t>
            </w:r>
          </w:p>
          <w:p w14:paraId="6F640291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3.1.1.3 Cataguases no dia 12/05/2020.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(Adiado para o dia 29/09/2020.)</w:t>
            </w:r>
          </w:p>
          <w:p w14:paraId="6F640292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3.1.1.4 </w:t>
            </w:r>
            <w:proofErr w:type="spellStart"/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Paracatú</w:t>
            </w:r>
            <w:proofErr w:type="spellEnd"/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dia 11/08/2020.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(Cancelado e substituído por evento virtual.)</w:t>
            </w:r>
          </w:p>
          <w:p w14:paraId="6F640293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3.1.1.5 Araçuaí no dia 29/09/2020.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(Status: Cancelado.)</w:t>
            </w:r>
          </w:p>
          <w:p w14:paraId="6F640294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3.1.1.6 João Monlevade no dia 27/10/2020.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(Cancelado e substituído por participação da CPC/MG na ação do ROTAS no município em Oliveira no dia 25/11/2020</w:t>
            </w:r>
            <w:r w:rsidR="007D28D6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  <w:p w14:paraId="6F640295" w14:textId="77777777" w:rsidR="001B3329" w:rsidRPr="0021515D" w:rsidRDefault="001B3329" w:rsidP="005200C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6F640296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AÇÃO: 3.1.8 – ELABORAR PROPOSTA DE EVENTO PARA O DIA NACIONAL DO PATRIMÔNIO</w:t>
            </w:r>
            <w:r w:rsidR="00AD49EB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DIA 15/08/2020</w:t>
            </w: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5F34CA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(Status: Mantido.)</w:t>
            </w:r>
          </w:p>
          <w:p w14:paraId="6F640297" w14:textId="77777777" w:rsidR="00AF7BA8" w:rsidRPr="0021515D" w:rsidRDefault="00AF7BA8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98" w14:textId="77777777" w:rsidR="00AF7BA8" w:rsidRPr="0021515D" w:rsidRDefault="005E2E88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</w:rPr>
              <w:t xml:space="preserve">AÇÃO: 3.1.19 - </w:t>
            </w:r>
            <w:r w:rsidR="00AF7BA8" w:rsidRPr="0021515D">
              <w:rPr>
                <w:rFonts w:ascii="Times New Roman" w:eastAsia="Times New Roman" w:hAnsi="Times New Roman" w:cs="Times New Roman"/>
                <w:color w:val="000000"/>
              </w:rPr>
              <w:t>SEMINÁRIO CONJUNTO CPUA, CATHIS E CPC EM BELO HORIZONTE NOS DIAS 14/09/2020 E 15/09/2020.</w:t>
            </w:r>
            <w:r w:rsidR="005F34CA" w:rsidRPr="002151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F34CA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(Status: Mantido.)</w:t>
            </w:r>
          </w:p>
          <w:p w14:paraId="6F640299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6F64029B" w14:textId="77777777" w:rsidR="001B3329" w:rsidRPr="0021515D" w:rsidRDefault="001B3329" w:rsidP="001B3329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14:paraId="6F64029C" w14:textId="77777777" w:rsidR="001B3329" w:rsidRPr="0021515D" w:rsidRDefault="001B3329" w:rsidP="0030141B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14:paraId="6F64029D" w14:textId="77777777" w:rsidR="00CF5D11" w:rsidRPr="0021515D" w:rsidRDefault="00CF5D11" w:rsidP="0030141B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08493E" w:rsidRPr="0021515D" w14:paraId="6F6402A1" w14:textId="77777777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9E" w14:textId="77777777" w:rsidR="00131CB9" w:rsidRPr="0021515D" w:rsidRDefault="00131CB9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9F" w14:textId="77777777" w:rsidR="005200CC" w:rsidRPr="0021515D" w:rsidRDefault="005200CC" w:rsidP="005200CC">
            <w:pPr>
              <w:widowControl/>
              <w:ind w:left="-19" w:firstLine="1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3.3 Acompanhamento das ações da CPC/MG. </w:t>
            </w:r>
          </w:p>
          <w:p w14:paraId="6F6402A0" w14:textId="77777777" w:rsidR="00131CB9" w:rsidRPr="0021515D" w:rsidRDefault="00131CB9" w:rsidP="006A1804">
            <w:pPr>
              <w:widowControl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08493E" w:rsidRPr="0021515D" w14:paraId="6F6402B6" w14:textId="77777777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F6402A2" w14:textId="77777777" w:rsidR="00131CB9" w:rsidRPr="0021515D" w:rsidRDefault="00131CB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21515D">
              <w:rPr>
                <w:rFonts w:ascii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6F6402A3" w14:textId="77777777" w:rsidR="0039781F" w:rsidRPr="0021515D" w:rsidRDefault="005200CC" w:rsidP="0039781F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AÇÃO: 1.2.1.1 – ELENCAR PROJETOS DE LEI ESTADUAIS PARA A ATUAÇÃO DO CAU/MG. </w:t>
            </w:r>
          </w:p>
          <w:p w14:paraId="6F6402A4" w14:textId="77777777" w:rsidR="0039781F" w:rsidRPr="0021515D" w:rsidRDefault="0039781F" w:rsidP="0039781F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A5" w14:textId="77777777" w:rsidR="0039781F" w:rsidRPr="0021515D" w:rsidRDefault="005200CC" w:rsidP="0039781F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hAnsi="Times New Roman" w:cs="Times New Roman"/>
              </w:rPr>
              <w:t xml:space="preserve">A COA-CAU/MG elaborou uma proposta preliminar de classificação das matérias legislativas recebidas da Biblioteca da ALMG, conforme a deliberação DCOA-CAU/MG Nº 199.3.1/2020 e esta planilha foi encaminhada pelo protocolo </w:t>
            </w:r>
            <w:proofErr w:type="spellStart"/>
            <w:r w:rsidRPr="0021515D">
              <w:rPr>
                <w:rFonts w:ascii="Times New Roman" w:hAnsi="Times New Roman" w:cs="Times New Roman"/>
              </w:rPr>
              <w:t>siccau</w:t>
            </w:r>
            <w:proofErr w:type="spellEnd"/>
            <w:r w:rsidRPr="0021515D">
              <w:rPr>
                <w:rFonts w:ascii="Times New Roman" w:hAnsi="Times New Roman" w:cs="Times New Roman"/>
              </w:rPr>
              <w:t xml:space="preserve"> n° </w:t>
            </w:r>
            <w:r w:rsidRPr="0021515D">
              <w:rPr>
                <w:rFonts w:ascii="Times New Roman" w:hAnsi="Times New Roman" w:cs="Times New Roman"/>
                <w:color w:val="000000"/>
              </w:rPr>
              <w:t>1095932/2020.</w:t>
            </w:r>
            <w:r w:rsidR="0039781F" w:rsidRPr="0021515D">
              <w:rPr>
                <w:rFonts w:ascii="Times New Roman" w:hAnsi="Times New Roman" w:cs="Times New Roman"/>
                <w:color w:val="000000"/>
              </w:rPr>
              <w:t xml:space="preserve"> A CPC/MG deliberou por: A) </w:t>
            </w:r>
            <w:r w:rsidR="0039781F" w:rsidRPr="0021515D">
              <w:rPr>
                <w:rFonts w:ascii="Times New Roman" w:hAnsi="Times New Roman" w:cs="Times New Roman"/>
              </w:rPr>
              <w:t xml:space="preserve">Por informar ao Presidente do CAU/MG e à GEPLAN do CAU/MG que, tendo em vista os projetos de </w:t>
            </w:r>
            <w:proofErr w:type="gramStart"/>
            <w:r w:rsidR="0039781F" w:rsidRPr="0021515D">
              <w:rPr>
                <w:rFonts w:ascii="Times New Roman" w:hAnsi="Times New Roman" w:cs="Times New Roman"/>
              </w:rPr>
              <w:t>lei  apresentados</w:t>
            </w:r>
            <w:proofErr w:type="gramEnd"/>
            <w:r w:rsidR="0039781F" w:rsidRPr="0021515D">
              <w:rPr>
                <w:rFonts w:ascii="Times New Roman" w:hAnsi="Times New Roman" w:cs="Times New Roman"/>
              </w:rPr>
              <w:t xml:space="preserve">, a CPC/MG não </w:t>
            </w:r>
            <w:r w:rsidR="0039781F" w:rsidRPr="0021515D">
              <w:rPr>
                <w:rFonts w:ascii="Times New Roman" w:hAnsi="Times New Roman" w:cs="Times New Roman"/>
              </w:rPr>
              <w:lastRenderedPageBreak/>
              <w:t xml:space="preserve">identificou nenhum que julgue de relevância para atuação do CAU/MG. B) Sugerir que a filtragem destes Projetos de Lei seja instituída como rotina da GEPLAN do CAU/MG para encaminhamento regular às Comissões Permanentes. C) Solicitar à Presidência do CAU/MG gestões no sentido da criação de uma Frente Parlamentar a favor da Arquitetura e Urbanismo. </w:t>
            </w:r>
          </w:p>
          <w:p w14:paraId="6F6402A6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A7" w14:textId="77777777" w:rsidR="0059480A" w:rsidRPr="0021515D" w:rsidRDefault="001D61A1" w:rsidP="0059480A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3.3.2 </w:t>
            </w:r>
            <w:r w:rsidR="005200CC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AÇÃO: 1.5.5 – OFICINAS DE CAPACITAÇÃO EM PATRIMÔNIO CULTURAL PARA ÓRGÃOS DE ADMINISTRAÇÃO MUNICIPAL</w:t>
            </w:r>
            <w:r w:rsidR="0059480A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</w:p>
          <w:p w14:paraId="6F6402A8" w14:textId="77777777" w:rsidR="0059480A" w:rsidRPr="0021515D" w:rsidRDefault="0059480A" w:rsidP="0059480A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A9" w14:textId="77777777" w:rsidR="005200CC" w:rsidRPr="0021515D" w:rsidRDefault="0059480A" w:rsidP="0021515D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Este item já foi discutido e atualizado no item 3.2 desta súmula. </w:t>
            </w:r>
          </w:p>
          <w:p w14:paraId="6F6402AA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AB" w14:textId="77777777" w:rsidR="005200CC" w:rsidRPr="0021515D" w:rsidRDefault="005200CC" w:rsidP="0021515D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AÇÃO: 2.2.4 – ELABORAR PROPOSTA DE CARTILHA SOBRE SERVIÇOS PROFISSIONAIS EM P</w:t>
            </w:r>
            <w:bookmarkStart w:id="0" w:name="_GoBack"/>
            <w:bookmarkEnd w:id="0"/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ATRIMÔNIO CULTURAL</w:t>
            </w:r>
          </w:p>
          <w:p w14:paraId="6F6402AC" w14:textId="77777777" w:rsidR="0021515D" w:rsidRPr="0021515D" w:rsidRDefault="0021515D" w:rsidP="0021515D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AD" w14:textId="77777777" w:rsidR="0021515D" w:rsidRPr="0021515D" w:rsidRDefault="0021515D" w:rsidP="0021515D">
            <w:pPr>
              <w:widowControl/>
              <w:suppressLineNumbers/>
              <w:ind w:firstLine="69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Este item foi debatido e está em andamento. </w:t>
            </w:r>
          </w:p>
          <w:p w14:paraId="6F6402AE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AF" w14:textId="77777777" w:rsidR="0059480A" w:rsidRPr="0021515D" w:rsidRDefault="005200CC" w:rsidP="0059480A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AÇÃO: 3.1.8 – ELABORAR PROPOSTA DE EVENTO PARA O DIA NACIONAL DO PATRIMÔNIO. </w:t>
            </w:r>
          </w:p>
          <w:p w14:paraId="6F6402B0" w14:textId="77777777" w:rsidR="0059480A" w:rsidRPr="0021515D" w:rsidRDefault="0059480A" w:rsidP="0059480A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AB97AE0" w14:textId="4E49A38F" w:rsidR="00FC541A" w:rsidRPr="0021515D" w:rsidRDefault="0059480A" w:rsidP="00FC541A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Este item já foi discutido e </w:t>
            </w:r>
            <w:r w:rsidR="00FC541A" w:rsidRPr="00D04A7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mantido</w:t>
            </w:r>
            <w:r w:rsidR="00FC541A"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</w:p>
          <w:p w14:paraId="6F6402B2" w14:textId="77777777" w:rsidR="005200CC" w:rsidRPr="0021515D" w:rsidRDefault="005200CC" w:rsidP="005200C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B3" w14:textId="77777777" w:rsidR="005200CC" w:rsidRPr="0021515D" w:rsidRDefault="005200CC" w:rsidP="0021515D">
            <w:pPr>
              <w:pStyle w:val="PargrafodaLista"/>
              <w:widowControl/>
              <w:numPr>
                <w:ilvl w:val="2"/>
                <w:numId w:val="29"/>
              </w:numPr>
              <w:suppressLineNumbers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AÇÃO: (Ainda sem numeração no plano de ação do CAU/MG) – ELABORAR PANFLETO ORIENTATIVO, DIRECIONADO A ÓRGÃOS PÚBLICOS, SOBRE A IMPORTÂNCIA DE CONTRATAÇÃO DE ARQUITETO E URBANISTA PARA ATUAÇÃO NO PATRIMÔNIO CULTURAL.</w:t>
            </w:r>
          </w:p>
          <w:p w14:paraId="6F6402B4" w14:textId="77777777" w:rsidR="0021515D" w:rsidRPr="0021515D" w:rsidRDefault="0021515D" w:rsidP="0021515D">
            <w:pPr>
              <w:pStyle w:val="PargrafodaLista"/>
              <w:widowControl/>
              <w:suppressLineNumbers/>
              <w:ind w:left="7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6F6402B5" w14:textId="77777777" w:rsidR="00DC271F" w:rsidRPr="0021515D" w:rsidRDefault="0021515D" w:rsidP="0021515D">
            <w:pPr>
              <w:widowControl/>
              <w:suppressLineNumbers/>
              <w:ind w:firstLine="69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Este item foi debatido e está em andamento. </w:t>
            </w:r>
          </w:p>
        </w:tc>
      </w:tr>
    </w:tbl>
    <w:p w14:paraId="6F6402B7" w14:textId="77777777" w:rsidR="005200CC" w:rsidRPr="0021515D" w:rsidRDefault="005200CC" w:rsidP="00452EDE">
      <w:pPr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14:paraId="6F6402B8" w14:textId="77777777" w:rsidR="00D47128" w:rsidRPr="0021515D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1515D">
        <w:rPr>
          <w:rFonts w:ascii="Times New Roman" w:hAnsi="Times New Roman" w:cs="Times New Roman"/>
          <w:b/>
          <w:color w:val="000000" w:themeColor="text1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08493E" w:rsidRPr="0021515D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21515D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77777777" w:rsidR="00DF0D04" w:rsidRPr="0021515D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4</w:t>
            </w:r>
            <w:r w:rsidR="00906A73"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</w:t>
            </w: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Encerramento</w:t>
            </w:r>
          </w:p>
        </w:tc>
      </w:tr>
      <w:tr w:rsidR="0008493E" w:rsidRPr="0021515D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21515D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1515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77777777" w:rsidR="007A22B0" w:rsidRPr="0021515D" w:rsidRDefault="00D90E2A" w:rsidP="00F3091B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 reunião entrou em intervalo para almoço às 1</w:t>
            </w:r>
            <w:r w:rsidR="00F3091B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3</w:t>
            </w:r>
            <w:r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h</w:t>
            </w:r>
            <w:r w:rsidR="00F3091B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0</w:t>
            </w:r>
            <w:r w:rsidR="00150D4E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0</w:t>
            </w:r>
            <w:r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e retornou às 1</w:t>
            </w:r>
            <w:r w:rsidR="00F3091B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4</w:t>
            </w:r>
            <w:r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h</w:t>
            </w:r>
            <w:r w:rsidR="002517B0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0</w:t>
            </w:r>
            <w:r w:rsidR="000F0BFB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0</w:t>
            </w:r>
            <w:r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. </w:t>
            </w:r>
            <w:r w:rsidR="00C32A9E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A </w:t>
            </w:r>
            <w:r w:rsidR="00CD438A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Coordenadora </w:t>
            </w:r>
            <w:r w:rsidR="00F83C81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Marília Palhares Machado</w:t>
            </w:r>
            <w:r w:rsidR="00800B8E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CD438A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encerrou a 0</w:t>
            </w:r>
            <w:r w:rsidR="00F83C81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1</w:t>
            </w:r>
            <w:r w:rsidR="005200CC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3</w:t>
            </w:r>
            <w:r w:rsidR="00CD438A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ª Reunião da Comissão </w:t>
            </w:r>
            <w:r w:rsidR="0067239B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Patrimônio Cultural</w:t>
            </w:r>
            <w:r w:rsidR="00CD438A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do CAU/MG</w:t>
            </w:r>
            <w:r w:rsidR="00C32A9E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às 1</w:t>
            </w:r>
            <w:r w:rsidR="00F3091B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5</w:t>
            </w:r>
            <w:r w:rsidR="00271042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h</w:t>
            </w:r>
            <w:r w:rsidR="00F3091B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3</w:t>
            </w:r>
            <w:r w:rsidR="00D34EAC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0</w:t>
            </w:r>
            <w:r w:rsidR="00271042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min</w:t>
            </w:r>
            <w:r w:rsidR="00CD438A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. Para os devidos fins, eu, </w:t>
            </w:r>
            <w:r w:rsidR="00F83C81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Diogo Ubaldo Braga</w:t>
            </w:r>
            <w:r w:rsidR="005153E4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, </w:t>
            </w:r>
            <w:r w:rsidR="00F83C81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Assessor da CPC/MG-</w:t>
            </w:r>
            <w:r w:rsidR="005153E4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CAU/MG</w:t>
            </w:r>
            <w:r w:rsidR="00CD438A" w:rsidRPr="00F3091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21515D" w:rsidRDefault="00CA09AA" w:rsidP="0030141B">
      <w:pPr>
        <w:jc w:val="both"/>
        <w:rPr>
          <w:rFonts w:ascii="Times New Roman" w:hAnsi="Times New Roman" w:cs="Times New Roman"/>
          <w:b/>
          <w:color w:val="A6A6A6" w:themeColor="background1" w:themeShade="A6"/>
        </w:rPr>
      </w:pPr>
    </w:p>
    <w:p w14:paraId="6F6402C0" w14:textId="77777777" w:rsidR="005C51C7" w:rsidRPr="0021515D" w:rsidRDefault="005C51C7" w:rsidP="005C51C7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bCs/>
          <w:color w:val="000000" w:themeColor="text1"/>
        </w:rPr>
        <w:t>MARIA EDWIGES SOBREIRA LEAL</w:t>
      </w:r>
      <w:r w:rsidRPr="0021515D">
        <w:rPr>
          <w:rFonts w:ascii="Times New Roman" w:hAnsi="Times New Roman" w:cs="Times New Roman"/>
          <w:color w:val="000000" w:themeColor="text1"/>
        </w:rPr>
        <w:t xml:space="preserve">            </w:t>
      </w:r>
      <w:r w:rsidR="009205FB" w:rsidRPr="0021515D">
        <w:rPr>
          <w:rFonts w:ascii="Times New Roman" w:hAnsi="Times New Roman" w:cs="Times New Roman"/>
          <w:color w:val="000000" w:themeColor="text1"/>
        </w:rPr>
        <w:t xml:space="preserve">          </w:t>
      </w:r>
      <w:r w:rsidRPr="0021515D">
        <w:rPr>
          <w:rFonts w:ascii="Times New Roman" w:hAnsi="Times New Roman" w:cs="Times New Roman"/>
          <w:color w:val="000000" w:themeColor="text1"/>
        </w:rPr>
        <w:t xml:space="preserve"> ____________________________________</w:t>
      </w:r>
    </w:p>
    <w:p w14:paraId="6F6402C1" w14:textId="77777777" w:rsidR="005C51C7" w:rsidRPr="0021515D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 xml:space="preserve">Coordenadora </w:t>
      </w:r>
      <w:r w:rsidR="00390F23" w:rsidRPr="0021515D">
        <w:rPr>
          <w:rFonts w:ascii="Times New Roman" w:hAnsi="Times New Roman" w:cs="Times New Roman"/>
          <w:color w:val="000000" w:themeColor="text1"/>
        </w:rPr>
        <w:t xml:space="preserve">adjunta </w:t>
      </w:r>
      <w:r w:rsidRPr="0021515D">
        <w:rPr>
          <w:rFonts w:ascii="Times New Roman" w:hAnsi="Times New Roman" w:cs="Times New Roman"/>
          <w:color w:val="000000" w:themeColor="text1"/>
        </w:rPr>
        <w:t>da CPC-CAU/MG</w:t>
      </w:r>
      <w:r w:rsidRPr="0021515D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14:paraId="6F6402C2" w14:textId="77777777" w:rsidR="0008552C" w:rsidRPr="0021515D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eastAsia="Times New Roman" w:hAnsi="Times New Roman" w:cs="Times New Roman"/>
          <w:color w:val="000000" w:themeColor="text1"/>
        </w:rPr>
        <w:t>ADEMIR NOGUEIRA DE AVILA</w:t>
      </w:r>
      <w:r w:rsidRPr="0021515D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9205FB" w:rsidRPr="0021515D">
        <w:rPr>
          <w:rFonts w:ascii="Times New Roman" w:hAnsi="Times New Roman" w:cs="Times New Roman"/>
          <w:color w:val="000000" w:themeColor="text1"/>
        </w:rPr>
        <w:t xml:space="preserve">           ____________________________________</w:t>
      </w:r>
      <w:r w:rsidR="0008552C" w:rsidRPr="0021515D">
        <w:rPr>
          <w:rFonts w:ascii="Times New Roman" w:hAnsi="Times New Roman" w:cs="Times New Roman"/>
          <w:color w:val="000000" w:themeColor="text1"/>
        </w:rPr>
        <w:t xml:space="preserve"> </w:t>
      </w:r>
    </w:p>
    <w:p w14:paraId="6F6402C3" w14:textId="77777777" w:rsidR="00390F23" w:rsidRPr="0021515D" w:rsidRDefault="00390F23" w:rsidP="00390F23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 xml:space="preserve">Membro da CPC-CAU/MG               </w:t>
      </w:r>
    </w:p>
    <w:p w14:paraId="6F6402C4" w14:textId="77777777" w:rsidR="0008552C" w:rsidRPr="0021515D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6402C5" w14:textId="77777777" w:rsidR="007A22B0" w:rsidRPr="0021515D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 xml:space="preserve">MARCIA ANDRADE SCHAUN REIS           </w:t>
      </w:r>
      <w:r w:rsidR="009205FB" w:rsidRPr="0021515D">
        <w:rPr>
          <w:rFonts w:ascii="Times New Roman" w:hAnsi="Times New Roman" w:cs="Times New Roman"/>
          <w:color w:val="000000" w:themeColor="text1"/>
        </w:rPr>
        <w:t xml:space="preserve">           </w:t>
      </w:r>
      <w:r w:rsidRPr="0021515D">
        <w:rPr>
          <w:rFonts w:ascii="Times New Roman" w:hAnsi="Times New Roman" w:cs="Times New Roman"/>
          <w:color w:val="000000" w:themeColor="text1"/>
        </w:rPr>
        <w:t xml:space="preserve">  </w:t>
      </w:r>
      <w:r w:rsidR="00271042" w:rsidRPr="0021515D">
        <w:rPr>
          <w:rFonts w:ascii="Times New Roman" w:hAnsi="Times New Roman" w:cs="Times New Roman"/>
          <w:color w:val="000000" w:themeColor="text1"/>
        </w:rPr>
        <w:t>_______________AUSENTE_____________</w:t>
      </w:r>
      <w:r w:rsidR="007A22B0" w:rsidRPr="0021515D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</w:p>
    <w:p w14:paraId="6F6402C6" w14:textId="77777777" w:rsidR="007A22B0" w:rsidRPr="0021515D" w:rsidRDefault="00205866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 xml:space="preserve">Membro </w:t>
      </w:r>
      <w:r w:rsidR="007A22B0" w:rsidRPr="0021515D">
        <w:rPr>
          <w:rFonts w:ascii="Times New Roman" w:hAnsi="Times New Roman" w:cs="Times New Roman"/>
          <w:color w:val="000000" w:themeColor="text1"/>
        </w:rPr>
        <w:t>da C</w:t>
      </w:r>
      <w:r w:rsidR="00467D0E" w:rsidRPr="0021515D">
        <w:rPr>
          <w:rFonts w:ascii="Times New Roman" w:hAnsi="Times New Roman" w:cs="Times New Roman"/>
          <w:color w:val="000000" w:themeColor="text1"/>
        </w:rPr>
        <w:t>PC</w:t>
      </w:r>
      <w:r w:rsidR="007A22B0" w:rsidRPr="0021515D">
        <w:rPr>
          <w:rFonts w:ascii="Times New Roman" w:hAnsi="Times New Roman" w:cs="Times New Roman"/>
          <w:color w:val="000000" w:themeColor="text1"/>
        </w:rPr>
        <w:t xml:space="preserve">-CAU/MG               </w:t>
      </w:r>
    </w:p>
    <w:p w14:paraId="6F6402C7" w14:textId="77777777" w:rsidR="00C03280" w:rsidRPr="0021515D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6402C8" w14:textId="77777777" w:rsidR="00C03280" w:rsidRPr="0021515D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 xml:space="preserve">MARILIA PALHARES MACHADO         </w:t>
      </w:r>
      <w:r w:rsidR="004A0C6B" w:rsidRPr="0021515D">
        <w:rPr>
          <w:rFonts w:ascii="Times New Roman" w:hAnsi="Times New Roman" w:cs="Times New Roman"/>
          <w:color w:val="000000" w:themeColor="text1"/>
        </w:rPr>
        <w:t xml:space="preserve">   </w:t>
      </w:r>
      <w:r w:rsidRPr="0021515D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21515D">
        <w:rPr>
          <w:rFonts w:ascii="Times New Roman" w:hAnsi="Times New Roman" w:cs="Times New Roman"/>
          <w:color w:val="000000" w:themeColor="text1"/>
        </w:rPr>
        <w:t xml:space="preserve">           </w:t>
      </w:r>
      <w:r w:rsidRPr="0021515D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21515D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21515D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6F6402C9" w14:textId="77777777" w:rsidR="00C03280" w:rsidRPr="0021515D" w:rsidRDefault="00390F23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>Coordenadora da CPC-CAU/MG</w:t>
      </w:r>
      <w:r w:rsidR="00C03280" w:rsidRPr="0021515D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14:paraId="6F6402CA" w14:textId="77777777" w:rsidR="007A22B0" w:rsidRPr="0021515D" w:rsidRDefault="007A22B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ab/>
      </w:r>
      <w:r w:rsidRPr="0021515D">
        <w:rPr>
          <w:rFonts w:ascii="Times New Roman" w:hAnsi="Times New Roman" w:cs="Times New Roman"/>
          <w:color w:val="000000" w:themeColor="text1"/>
        </w:rPr>
        <w:tab/>
      </w:r>
      <w:r w:rsidRPr="0021515D">
        <w:rPr>
          <w:rFonts w:ascii="Times New Roman" w:hAnsi="Times New Roman" w:cs="Times New Roman"/>
          <w:color w:val="000000" w:themeColor="text1"/>
        </w:rPr>
        <w:tab/>
      </w:r>
    </w:p>
    <w:p w14:paraId="6F6402CB" w14:textId="77777777" w:rsidR="007A22B0" w:rsidRPr="0021515D" w:rsidRDefault="00F83C81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>DIOGO UBALDO BRAGA</w:t>
      </w:r>
      <w:r w:rsidR="00C03280" w:rsidRPr="0021515D">
        <w:rPr>
          <w:rFonts w:ascii="Times New Roman" w:hAnsi="Times New Roman" w:cs="Times New Roman"/>
          <w:color w:val="000000" w:themeColor="text1"/>
        </w:rPr>
        <w:t xml:space="preserve">             </w:t>
      </w:r>
      <w:r w:rsidR="00964CA3" w:rsidRPr="0021515D">
        <w:rPr>
          <w:rFonts w:ascii="Times New Roman" w:hAnsi="Times New Roman" w:cs="Times New Roman"/>
          <w:color w:val="000000" w:themeColor="text1"/>
        </w:rPr>
        <w:t xml:space="preserve">   </w:t>
      </w:r>
      <w:r w:rsidR="00C03280" w:rsidRPr="0021515D">
        <w:rPr>
          <w:rFonts w:ascii="Times New Roman" w:hAnsi="Times New Roman" w:cs="Times New Roman"/>
          <w:color w:val="000000" w:themeColor="text1"/>
        </w:rPr>
        <w:t xml:space="preserve">    </w:t>
      </w:r>
      <w:r w:rsidR="009205FB" w:rsidRPr="0021515D">
        <w:rPr>
          <w:rFonts w:ascii="Times New Roman" w:hAnsi="Times New Roman" w:cs="Times New Roman"/>
          <w:color w:val="000000" w:themeColor="text1"/>
        </w:rPr>
        <w:t xml:space="preserve">  </w:t>
      </w:r>
      <w:r w:rsidRPr="0021515D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C03280" w:rsidRPr="0021515D">
        <w:rPr>
          <w:rFonts w:ascii="Times New Roman" w:hAnsi="Times New Roman" w:cs="Times New Roman"/>
          <w:color w:val="000000" w:themeColor="text1"/>
        </w:rPr>
        <w:t xml:space="preserve"> </w:t>
      </w:r>
      <w:r w:rsidR="009205FB" w:rsidRPr="0021515D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6F6402CC" w14:textId="77777777" w:rsidR="00D2110C" w:rsidRPr="0021515D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</w:rPr>
      </w:pPr>
      <w:r w:rsidRPr="0021515D">
        <w:rPr>
          <w:rFonts w:ascii="Times New Roman" w:hAnsi="Times New Roman" w:cs="Times New Roman"/>
          <w:color w:val="000000" w:themeColor="text1"/>
        </w:rPr>
        <w:t>Arquiteto Analista Assessor da CPC/MG</w:t>
      </w:r>
      <w:r w:rsidR="007A22B0" w:rsidRPr="0021515D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D2110C" w:rsidRPr="0021515D" w:rsidSect="00C67605">
      <w:headerReference w:type="default" r:id="rId9"/>
      <w:footerReference w:type="default" r:id="rId10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5EE1" w14:textId="77777777" w:rsidR="00BC76FF" w:rsidRDefault="00BC76FF" w:rsidP="007E22C9">
      <w:r>
        <w:separator/>
      </w:r>
    </w:p>
  </w:endnote>
  <w:endnote w:type="continuationSeparator" w:id="0">
    <w:p w14:paraId="00593E35" w14:textId="77777777" w:rsidR="00BC76FF" w:rsidRDefault="00BC76F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F48C" w14:textId="77777777" w:rsidR="00BC76FF" w:rsidRDefault="00BC76FF" w:rsidP="007E22C9">
      <w:r>
        <w:separator/>
      </w:r>
    </w:p>
  </w:footnote>
  <w:footnote w:type="continuationSeparator" w:id="0">
    <w:p w14:paraId="5862470B" w14:textId="77777777" w:rsidR="00BC76FF" w:rsidRDefault="00BC76F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D04A72" w:rsidRPr="00D04A72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04A72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D04A72" w:rsidRPr="00D04A72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D04A72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4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62D93"/>
    <w:multiLevelType w:val="multilevel"/>
    <w:tmpl w:val="3FDA0D4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3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4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6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1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28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18"/>
  </w:num>
  <w:num w:numId="8">
    <w:abstractNumId w:val="16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8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20"/>
  </w:num>
  <w:num w:numId="15">
    <w:abstractNumId w:val="13"/>
  </w:num>
  <w:num w:numId="16">
    <w:abstractNumId w:val="7"/>
  </w:num>
  <w:num w:numId="17">
    <w:abstractNumId w:val="21"/>
  </w:num>
  <w:num w:numId="18">
    <w:abstractNumId w:val="27"/>
  </w:num>
  <w:num w:numId="19">
    <w:abstractNumId w:val="22"/>
  </w:num>
  <w:num w:numId="20">
    <w:abstractNumId w:val="19"/>
  </w:num>
  <w:num w:numId="21">
    <w:abstractNumId w:val="5"/>
  </w:num>
  <w:num w:numId="22">
    <w:abstractNumId w:val="26"/>
  </w:num>
  <w:num w:numId="23">
    <w:abstractNumId w:val="24"/>
  </w:num>
  <w:num w:numId="24">
    <w:abstractNumId w:val="9"/>
  </w:num>
  <w:num w:numId="25">
    <w:abstractNumId w:val="4"/>
  </w:num>
  <w:num w:numId="26">
    <w:abstractNumId w:val="25"/>
  </w:num>
  <w:num w:numId="27">
    <w:abstractNumId w:val="0"/>
  </w:num>
  <w:num w:numId="28">
    <w:abstractNumId w:val="2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317C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13C"/>
    <w:rsid w:val="000725EF"/>
    <w:rsid w:val="00072E67"/>
    <w:rsid w:val="000755C2"/>
    <w:rsid w:val="00080879"/>
    <w:rsid w:val="00080D73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F29"/>
    <w:rsid w:val="001025FB"/>
    <w:rsid w:val="00102BCC"/>
    <w:rsid w:val="00104E7A"/>
    <w:rsid w:val="00105C9D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3153"/>
    <w:rsid w:val="001A63D9"/>
    <w:rsid w:val="001A6991"/>
    <w:rsid w:val="001A6CEA"/>
    <w:rsid w:val="001B3329"/>
    <w:rsid w:val="001B614C"/>
    <w:rsid w:val="001C032C"/>
    <w:rsid w:val="001C0A90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374E"/>
    <w:rsid w:val="00205810"/>
    <w:rsid w:val="0020585B"/>
    <w:rsid w:val="00205866"/>
    <w:rsid w:val="0020634E"/>
    <w:rsid w:val="00206A99"/>
    <w:rsid w:val="002101FE"/>
    <w:rsid w:val="00210738"/>
    <w:rsid w:val="00210F3D"/>
    <w:rsid w:val="00214FDA"/>
    <w:rsid w:val="0021515D"/>
    <w:rsid w:val="00217A8A"/>
    <w:rsid w:val="00221CD9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2D7"/>
    <w:rsid w:val="002A5692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80A"/>
    <w:rsid w:val="00594C78"/>
    <w:rsid w:val="0059662F"/>
    <w:rsid w:val="00596D06"/>
    <w:rsid w:val="005A0AFC"/>
    <w:rsid w:val="005A1B3B"/>
    <w:rsid w:val="005A6AC6"/>
    <w:rsid w:val="005A7A89"/>
    <w:rsid w:val="005B04BD"/>
    <w:rsid w:val="005B1BF4"/>
    <w:rsid w:val="005B2089"/>
    <w:rsid w:val="005B3C69"/>
    <w:rsid w:val="005B4909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E21A1"/>
    <w:rsid w:val="005E2E88"/>
    <w:rsid w:val="005E3252"/>
    <w:rsid w:val="005E74F4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B0C86"/>
    <w:rsid w:val="006B434E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27CE5"/>
    <w:rsid w:val="00730076"/>
    <w:rsid w:val="00734B5A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4FFB"/>
    <w:rsid w:val="00785D8E"/>
    <w:rsid w:val="00790400"/>
    <w:rsid w:val="00790406"/>
    <w:rsid w:val="00790579"/>
    <w:rsid w:val="00792361"/>
    <w:rsid w:val="007925E9"/>
    <w:rsid w:val="007956F1"/>
    <w:rsid w:val="0079756F"/>
    <w:rsid w:val="007A0AAB"/>
    <w:rsid w:val="007A22B0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A09A5"/>
    <w:rsid w:val="008A6C87"/>
    <w:rsid w:val="008B1762"/>
    <w:rsid w:val="008B773A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2515"/>
    <w:rsid w:val="008E294B"/>
    <w:rsid w:val="008E3A68"/>
    <w:rsid w:val="008E5412"/>
    <w:rsid w:val="008F02F5"/>
    <w:rsid w:val="008F31C7"/>
    <w:rsid w:val="008F61C0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3200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D19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12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5C1"/>
    <w:rsid w:val="00D24D7E"/>
    <w:rsid w:val="00D24DA4"/>
    <w:rsid w:val="00D250BB"/>
    <w:rsid w:val="00D30883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71F"/>
    <w:rsid w:val="00DC28D7"/>
    <w:rsid w:val="00DC4245"/>
    <w:rsid w:val="00DC4DE2"/>
    <w:rsid w:val="00DD1E53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16B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10D1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3C81"/>
    <w:rsid w:val="00F85826"/>
    <w:rsid w:val="00F87EAB"/>
    <w:rsid w:val="00F90D90"/>
    <w:rsid w:val="00F9212D"/>
    <w:rsid w:val="00F93B3C"/>
    <w:rsid w:val="00FA12C1"/>
    <w:rsid w:val="00FA2E13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541A"/>
    <w:rsid w:val="00FC6692"/>
    <w:rsid w:val="00FC6DD5"/>
    <w:rsid w:val="00FC6E66"/>
    <w:rsid w:val="00FD2490"/>
    <w:rsid w:val="00FD254F"/>
    <w:rsid w:val="00FD4DF0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rs.gov.br/encontro-das-comissoes-de-patrimonio-cultur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EF61-C877-4CE4-887B-2F0FBBC0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1448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3</cp:revision>
  <cp:lastPrinted>2020-03-02T19:41:00Z</cp:lastPrinted>
  <dcterms:created xsi:type="dcterms:W3CDTF">2020-05-04T23:21:00Z</dcterms:created>
  <dcterms:modified xsi:type="dcterms:W3CDTF">2020-05-05T11:57:00Z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