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2F41F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2F41F3" w:rsidRPr="00FB40BF" w:rsidRDefault="00FB40BF" w:rsidP="002F41F3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>Lei</w:t>
            </w:r>
            <w:r w:rsidR="002F41F3">
              <w:rPr>
                <w:rFonts w:asciiTheme="majorHAnsi" w:hAnsiTheme="majorHAnsi" w:cs="Times New Roman"/>
                <w:sz w:val="21"/>
                <w:szCs w:val="21"/>
              </w:rPr>
              <w:t xml:space="preserve"> Federal 12.378/2010; Resolução 22/2012</w:t>
            </w:r>
          </w:p>
        </w:tc>
      </w:tr>
      <w:tr w:rsidR="00113CE6" w:rsidRPr="002F41F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2F41F3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Gerencia Técnica e de Fiscalização</w:t>
            </w:r>
          </w:p>
        </w:tc>
      </w:tr>
      <w:tr w:rsidR="00113CE6" w:rsidRPr="002F41F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2F41F3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F41F3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2F41F3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2F41F3">
              <w:rPr>
                <w:rFonts w:asciiTheme="majorHAnsi" w:hAnsiTheme="majorHAnsi" w:cs="Times New Roman"/>
                <w:b/>
                <w:sz w:val="24"/>
              </w:rPr>
              <w:t>9.3</w:t>
            </w:r>
            <w:r w:rsidR="00BB795C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AB79F3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2F41F3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343AC4" w:rsidRDefault="002F41F3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43AC4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14 de abril de 2020, após análise do assunto em epígrafe, no uso das competências, e </w:t>
      </w:r>
    </w:p>
    <w:p w:rsidR="002F41F3" w:rsidRPr="00343AC4" w:rsidRDefault="002F41F3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2F41F3" w:rsidRPr="00343AC4" w:rsidRDefault="002F41F3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43AC4">
        <w:rPr>
          <w:rFonts w:asciiTheme="majorHAnsi" w:hAnsiTheme="majorHAnsi" w:cs="Times New Roman"/>
          <w:lang w:val="pt-BR"/>
        </w:rPr>
        <w:t xml:space="preserve">Considerando o </w:t>
      </w:r>
      <w:r w:rsidRPr="00343AC4">
        <w:rPr>
          <w:rFonts w:asciiTheme="majorHAnsi" w:hAnsiTheme="majorHAnsi" w:cs="Times New Roman"/>
          <w:lang w:val="pt-BR"/>
        </w:rPr>
        <w:t>versado na Lei Federal 12.378/2010</w:t>
      </w:r>
    </w:p>
    <w:p w:rsidR="002F41F3" w:rsidRPr="00343AC4" w:rsidRDefault="002F41F3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2F41F3" w:rsidRPr="00343AC4" w:rsidRDefault="002F41F3" w:rsidP="002F41F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43AC4">
        <w:rPr>
          <w:rFonts w:asciiTheme="majorHAnsi" w:hAnsiTheme="majorHAnsi" w:cs="Times New Roman"/>
          <w:i/>
          <w:lang w:val="pt-BR"/>
        </w:rPr>
        <w:t>Art. 7</w:t>
      </w:r>
      <w:r w:rsidRPr="00343AC4">
        <w:rPr>
          <w:rFonts w:asciiTheme="majorHAnsi" w:hAnsiTheme="majorHAnsi" w:cs="Times New Roman"/>
          <w:i/>
          <w:lang w:val="pt-BR"/>
        </w:rPr>
        <w:t xml:space="preserve">º. </w:t>
      </w:r>
      <w:r w:rsidRPr="00343AC4">
        <w:rPr>
          <w:rFonts w:asciiTheme="majorHAnsi" w:hAnsiTheme="majorHAnsi" w:cs="Times New Roman"/>
          <w:i/>
          <w:lang w:val="pt-BR"/>
        </w:rPr>
        <w:t>Exerce ilegalmente a profissão de arquiteto e urbanista a pessoa física ou jurídica que realizar atos</w:t>
      </w:r>
      <w:r w:rsidRPr="00343AC4">
        <w:rPr>
          <w:rFonts w:asciiTheme="majorHAnsi" w:hAnsiTheme="majorHAnsi" w:cs="Times New Roman"/>
          <w:i/>
          <w:lang w:val="pt-BR"/>
        </w:rPr>
        <w:t xml:space="preserve"> </w:t>
      </w:r>
      <w:r w:rsidRPr="00343AC4">
        <w:rPr>
          <w:rFonts w:asciiTheme="majorHAnsi" w:hAnsiTheme="majorHAnsi" w:cs="Times New Roman"/>
          <w:i/>
          <w:lang w:val="pt-BR"/>
        </w:rPr>
        <w:t>ou prestar serviços, públicos ou privados, privativos dos profissionais de que trata esta Lei ou, ainda, que,</w:t>
      </w:r>
      <w:r w:rsidRPr="00343AC4">
        <w:rPr>
          <w:rFonts w:asciiTheme="majorHAnsi" w:hAnsiTheme="majorHAnsi" w:cs="Times New Roman"/>
          <w:i/>
          <w:lang w:val="pt-BR"/>
        </w:rPr>
        <w:t xml:space="preserve"> </w:t>
      </w:r>
      <w:r w:rsidRPr="00343AC4">
        <w:rPr>
          <w:rFonts w:asciiTheme="majorHAnsi" w:hAnsiTheme="majorHAnsi" w:cs="Times New Roman"/>
          <w:i/>
          <w:lang w:val="pt-BR"/>
        </w:rPr>
        <w:t>mesmo não realizando atos privativos, se apresenta como arquiteto e urbanista ou como pessoa jurídica que</w:t>
      </w:r>
      <w:r w:rsidRPr="00343AC4">
        <w:rPr>
          <w:rFonts w:asciiTheme="majorHAnsi" w:hAnsiTheme="majorHAnsi" w:cs="Times New Roman"/>
          <w:i/>
          <w:lang w:val="pt-BR"/>
        </w:rPr>
        <w:t xml:space="preserve"> </w:t>
      </w:r>
      <w:r w:rsidRPr="00343AC4">
        <w:rPr>
          <w:rFonts w:asciiTheme="majorHAnsi" w:hAnsiTheme="majorHAnsi" w:cs="Times New Roman"/>
          <w:i/>
          <w:lang w:val="pt-BR"/>
        </w:rPr>
        <w:t>atue na área de arquitetura e urbanismo sem registro no CAU.</w:t>
      </w:r>
    </w:p>
    <w:p w:rsidR="002F41F3" w:rsidRPr="00343AC4" w:rsidRDefault="002F41F3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343AC4" w:rsidRDefault="00FB40BF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43AC4">
        <w:rPr>
          <w:rFonts w:asciiTheme="majorHAnsi" w:hAnsiTheme="majorHAnsi" w:cs="Times New Roman"/>
          <w:lang w:val="pt-BR"/>
        </w:rPr>
        <w:t xml:space="preserve">Considerando </w:t>
      </w:r>
      <w:r w:rsidR="002F41F3" w:rsidRPr="00343AC4">
        <w:rPr>
          <w:rFonts w:asciiTheme="majorHAnsi" w:hAnsiTheme="majorHAnsi" w:cs="Times New Roman"/>
          <w:lang w:val="pt-BR"/>
        </w:rPr>
        <w:t>o Regimento Interno do CAU/MG:</w:t>
      </w:r>
    </w:p>
    <w:p w:rsidR="00FB40BF" w:rsidRPr="00343AC4" w:rsidRDefault="00FB40BF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2F41F3" w:rsidRPr="00343AC4" w:rsidRDefault="002F41F3" w:rsidP="002F41F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43AC4">
        <w:rPr>
          <w:rFonts w:asciiTheme="majorHAnsi" w:hAnsiTheme="majorHAnsi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2F41F3" w:rsidRPr="00343AC4" w:rsidRDefault="002F41F3" w:rsidP="002F41F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43AC4">
        <w:rPr>
          <w:rFonts w:asciiTheme="majorHAnsi" w:hAnsiTheme="majorHAnsi" w:cs="Times New Roman"/>
          <w:i/>
          <w:lang w:val="pt-BR"/>
        </w:rPr>
        <w:t>[...]</w:t>
      </w:r>
    </w:p>
    <w:p w:rsidR="002F41F3" w:rsidRPr="00343AC4" w:rsidRDefault="002F41F3" w:rsidP="002F41F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43AC4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:rsidR="002F41F3" w:rsidRPr="00343AC4" w:rsidRDefault="002F41F3" w:rsidP="002F41F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43AC4">
        <w:rPr>
          <w:rFonts w:asciiTheme="majorHAnsi" w:hAnsiTheme="majorHAnsi" w:cs="Times New Roman"/>
          <w:i/>
          <w:lang w:val="pt-BR"/>
        </w:rPr>
        <w:t>a) ações de fiscalização;</w:t>
      </w:r>
    </w:p>
    <w:p w:rsidR="002F41F3" w:rsidRPr="00343AC4" w:rsidRDefault="002F41F3" w:rsidP="002F41F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43AC4">
        <w:rPr>
          <w:rFonts w:asciiTheme="majorHAnsi" w:hAnsiTheme="majorHAnsi" w:cs="Times New Roman"/>
          <w:i/>
          <w:lang w:val="pt-BR"/>
        </w:rPr>
        <w:t>[...]</w:t>
      </w:r>
    </w:p>
    <w:p w:rsidR="002F41F3" w:rsidRPr="00343AC4" w:rsidRDefault="002F41F3" w:rsidP="002F41F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43AC4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:rsidR="002F41F3" w:rsidRPr="00343AC4" w:rsidRDefault="002F41F3" w:rsidP="002F41F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43AC4">
        <w:rPr>
          <w:rFonts w:asciiTheme="majorHAnsi" w:hAnsiTheme="majorHAnsi" w:cs="Times New Roman"/>
          <w:i/>
          <w:lang w:val="pt-BR"/>
        </w:rPr>
        <w:t>a) fiscalização;</w:t>
      </w:r>
    </w:p>
    <w:p w:rsidR="002F41F3" w:rsidRPr="00343AC4" w:rsidRDefault="002F41F3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4E1099" w:rsidRPr="00343AC4" w:rsidRDefault="00F657F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43AC4">
        <w:rPr>
          <w:rFonts w:asciiTheme="majorHAnsi" w:hAnsiTheme="majorHAnsi" w:cs="Times New Roman"/>
          <w:lang w:val="pt-BR"/>
        </w:rPr>
        <w:t xml:space="preserve">Considerando </w:t>
      </w:r>
      <w:r w:rsidR="002F41F3" w:rsidRPr="00343AC4">
        <w:rPr>
          <w:rFonts w:asciiTheme="majorHAnsi" w:hAnsiTheme="majorHAnsi" w:cs="Times New Roman"/>
          <w:lang w:val="pt-BR"/>
        </w:rPr>
        <w:t xml:space="preserve">a demanda enviada por esta Comissão à Gerência Técnica e de Fiscalização do CAU/MG através da Deliberação 158.4.2/2020 para aferição </w:t>
      </w:r>
      <w:r w:rsidR="00343AC4" w:rsidRPr="00343AC4">
        <w:rPr>
          <w:rFonts w:asciiTheme="majorHAnsi" w:hAnsiTheme="majorHAnsi" w:cs="Times New Roman"/>
          <w:lang w:val="pt-BR"/>
        </w:rPr>
        <w:t>regularidade cadastral e necessidade de registro da empresa ATENAS ASSESSORIA FINANCEIRA E PROJETOS DE ARQUITETURA E DECORAÇÃO LTDA,</w:t>
      </w:r>
      <w:r w:rsidR="00343AC4">
        <w:rPr>
          <w:rFonts w:asciiTheme="majorHAnsi" w:hAnsiTheme="majorHAnsi" w:cs="Times New Roman"/>
          <w:lang w:val="pt-BR"/>
        </w:rPr>
        <w:t xml:space="preserve"> </w:t>
      </w:r>
      <w:r w:rsidR="00343AC4" w:rsidRPr="00343AC4">
        <w:rPr>
          <w:rFonts w:asciiTheme="majorHAnsi" w:hAnsiTheme="majorHAnsi" w:cs="Times New Roman"/>
          <w:lang w:val="pt-BR"/>
        </w:rPr>
        <w:t>de CPNJ 06.126.448/0001-32</w:t>
      </w:r>
      <w:r w:rsidR="00343AC4">
        <w:rPr>
          <w:rFonts w:asciiTheme="majorHAnsi" w:hAnsiTheme="majorHAnsi" w:cs="Times New Roman"/>
          <w:lang w:val="pt-BR"/>
        </w:rPr>
        <w:t xml:space="preserve">, </w:t>
      </w:r>
      <w:r w:rsidR="00343AC4" w:rsidRPr="00343AC4">
        <w:rPr>
          <w:rFonts w:asciiTheme="majorHAnsi" w:hAnsiTheme="majorHAnsi" w:cs="Times New Roman"/>
          <w:lang w:val="pt-BR"/>
        </w:rPr>
        <w:t>nesta ou em outra Autarquia de fiscali</w:t>
      </w:r>
      <w:r w:rsidR="00343AC4">
        <w:rPr>
          <w:rFonts w:asciiTheme="majorHAnsi" w:hAnsiTheme="majorHAnsi" w:cs="Times New Roman"/>
          <w:lang w:val="pt-BR"/>
        </w:rPr>
        <w:t>zação do exercício profissional, dado o uso de expressão relacionada ao objeto de fiscalização deste CAU/MG.</w:t>
      </w:r>
    </w:p>
    <w:p w:rsidR="00343AC4" w:rsidRPr="00343AC4" w:rsidRDefault="00343AC4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43AC4" w:rsidRPr="00343AC4" w:rsidRDefault="00343AC4" w:rsidP="00343AC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43AC4">
        <w:rPr>
          <w:rFonts w:asciiTheme="majorHAnsi" w:hAnsiTheme="majorHAnsi" w:cs="Times New Roman"/>
          <w:lang w:val="pt-BR"/>
        </w:rPr>
        <w:t xml:space="preserve">Considerando a resposta da </w:t>
      </w:r>
      <w:r w:rsidRPr="00343AC4">
        <w:rPr>
          <w:rFonts w:asciiTheme="majorHAnsi" w:hAnsiTheme="majorHAnsi" w:cs="Times New Roman"/>
          <w:lang w:val="pt-BR"/>
        </w:rPr>
        <w:t>Gerência Técnica e de Fiscalização do CAU/MG</w:t>
      </w:r>
      <w:r>
        <w:rPr>
          <w:rFonts w:asciiTheme="majorHAnsi" w:hAnsiTheme="majorHAnsi" w:cs="Times New Roman"/>
          <w:lang w:val="pt-BR"/>
        </w:rPr>
        <w:t xml:space="preserve">, através do memorando 18/2020, em que se reporta que não há infração com capitulação específica na Resolução 22/2012 do CAU/BR para empresas com expressões relacionadas à Arquitetura e Urbanismo sem que conste em seu objetivo social a prestação de serviços nessa área. </w:t>
      </w:r>
    </w:p>
    <w:p w:rsidR="00D83DAA" w:rsidRDefault="00D83DA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E5190D" w:rsidRDefault="00E5190D" w:rsidP="002F41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43AC4" w:rsidRDefault="000D1FF4" w:rsidP="00343AC4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0D1FF4">
        <w:rPr>
          <w:rFonts w:asciiTheme="majorHAnsi" w:hAnsiTheme="majorHAnsi" w:cs="Times New Roman"/>
          <w:lang w:val="pt-BR"/>
        </w:rPr>
        <w:t xml:space="preserve">Por solicitar que a Gerência Técnica e de Fiscalização </w:t>
      </w:r>
      <w:r w:rsidR="00343AC4">
        <w:rPr>
          <w:rFonts w:asciiTheme="majorHAnsi" w:hAnsiTheme="majorHAnsi" w:cs="Times New Roman"/>
          <w:lang w:val="pt-BR"/>
        </w:rPr>
        <w:t xml:space="preserve">inicie os procedimentos fiscalizatórios previstos na Resolução 22/2012 do CAU/BR para a empresa </w:t>
      </w:r>
      <w:r w:rsidR="00343AC4" w:rsidRPr="00343AC4">
        <w:rPr>
          <w:rFonts w:asciiTheme="majorHAnsi" w:hAnsiTheme="majorHAnsi" w:cs="Times New Roman"/>
          <w:lang w:val="pt-BR"/>
        </w:rPr>
        <w:t>ATENAS ASSESSORIA FINANCEIRA E PROJETOS DE ARQUITETURA E DECORAÇÃO LTDA, CPNJ 06.126.448/0001-32</w:t>
      </w:r>
      <w:r w:rsidR="00343AC4">
        <w:rPr>
          <w:rFonts w:asciiTheme="majorHAnsi" w:hAnsiTheme="majorHAnsi" w:cs="Times New Roman"/>
          <w:lang w:val="pt-BR"/>
        </w:rPr>
        <w:t>, utilizando como capitulação o inciso IX do artigo 35 da resolução supramencionada.</w:t>
      </w:r>
    </w:p>
    <w:p w:rsidR="00343AC4" w:rsidRDefault="00343AC4" w:rsidP="00343AC4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:rsidR="00E5190D" w:rsidRDefault="005F0DBA" w:rsidP="002F41F3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343AC4">
        <w:rPr>
          <w:rFonts w:asciiTheme="majorHAnsi" w:hAnsiTheme="majorHAnsi" w:cs="Times New Roman"/>
          <w:lang w:val="pt-BR"/>
        </w:rPr>
        <w:t>14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343AC4">
        <w:rPr>
          <w:rFonts w:asciiTheme="majorHAnsi" w:hAnsiTheme="majorHAnsi" w:cs="Times New Roman"/>
          <w:lang w:val="pt-BR"/>
        </w:rPr>
        <w:t>abril</w:t>
      </w:r>
      <w:r w:rsidR="00C26B65">
        <w:rPr>
          <w:rFonts w:asciiTheme="majorHAnsi" w:hAnsiTheme="majorHAnsi" w:cs="Times New Roman"/>
          <w:lang w:val="pt-BR"/>
        </w:rPr>
        <w:t xml:space="preserve">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2F41F3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2F41F3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2F41F3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2F41F3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2F41F3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  <w:bookmarkStart w:id="0" w:name="_GoBack"/>
      <w:bookmarkEnd w:id="0"/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2B" w:rsidRDefault="002D132B" w:rsidP="007E22C9">
      <w:r>
        <w:separator/>
      </w:r>
    </w:p>
  </w:endnote>
  <w:endnote w:type="continuationSeparator" w:id="0">
    <w:p w:rsidR="002D132B" w:rsidRDefault="002D132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2B" w:rsidRDefault="002D132B" w:rsidP="007E22C9">
      <w:r>
        <w:separator/>
      </w:r>
    </w:p>
  </w:footnote>
  <w:footnote w:type="continuationSeparator" w:id="0">
    <w:p w:rsidR="002D132B" w:rsidRDefault="002D132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1FF4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132B"/>
    <w:rsid w:val="002D3276"/>
    <w:rsid w:val="002E07B7"/>
    <w:rsid w:val="002E7999"/>
    <w:rsid w:val="002F41F3"/>
    <w:rsid w:val="00317974"/>
    <w:rsid w:val="003260B5"/>
    <w:rsid w:val="00342427"/>
    <w:rsid w:val="00343AC4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1099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643"/>
    <w:rsid w:val="00A85C76"/>
    <w:rsid w:val="00A938E4"/>
    <w:rsid w:val="00A9403B"/>
    <w:rsid w:val="00AA0161"/>
    <w:rsid w:val="00AB6035"/>
    <w:rsid w:val="00AB6778"/>
    <w:rsid w:val="00AB79F3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DAA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0515"/>
    <w:rsid w:val="00F535C9"/>
    <w:rsid w:val="00F53CF6"/>
    <w:rsid w:val="00F56884"/>
    <w:rsid w:val="00F62D61"/>
    <w:rsid w:val="00F657FA"/>
    <w:rsid w:val="00F666D1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8CDE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386A-7E66-4836-A6DD-B9A4A9EF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Santos</cp:lastModifiedBy>
  <cp:revision>23</cp:revision>
  <cp:lastPrinted>2019-01-22T18:20:00Z</cp:lastPrinted>
  <dcterms:created xsi:type="dcterms:W3CDTF">2019-05-23T18:01:00Z</dcterms:created>
  <dcterms:modified xsi:type="dcterms:W3CDTF">2020-04-16T17:40:00Z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