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187"/>
        <w:tblW w:w="99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3336"/>
        <w:gridCol w:w="5340"/>
      </w:tblGrid>
      <w:tr w:rsidR="00810059" w:rsidRPr="001F4C2C" w:rsidTr="002B77AC">
        <w:trPr>
          <w:trHeight w:val="355"/>
        </w:trPr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59" w:rsidRPr="001F4C2C" w:rsidRDefault="00810059" w:rsidP="00C84B0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bookmarkStart w:id="0" w:name="_GoBack"/>
            <w:bookmarkEnd w:id="0"/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SÚMULA DA </w:t>
            </w:r>
            <w:r w:rsidR="00401FBA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1</w:t>
            </w:r>
            <w:r w:rsidR="00C84B0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9</w:t>
            </w:r>
            <w:r w:rsidR="001E1A62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ª REUNIÃO (ORDINÁRIA) 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DA COMISSÃO 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DE ORGANIZAÇÃO E ADMINISTRAÇÃO – COA-CAU/MG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1F4C2C" w:rsidTr="002B77AC">
        <w:trPr>
          <w:trHeight w:val="215"/>
        </w:trPr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1F4C2C" w:rsidRDefault="00810059" w:rsidP="0066576C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1. LOCAL E DATA: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10059" w:rsidRPr="001F4C2C" w:rsidTr="002B77AC">
        <w:trPr>
          <w:trHeight w:val="2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1F4C2C" w:rsidRDefault="00810059" w:rsidP="0081005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DATA: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59" w:rsidRPr="001F4C2C" w:rsidRDefault="005622A6" w:rsidP="00CE3C2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</w:t>
            </w:r>
            <w:r w:rsidR="00CE3C2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9</w:t>
            </w:r>
            <w:r w:rsidR="00B83B1F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</w:t>
            </w:r>
            <w:r w:rsidR="00CE3C2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</w:t>
            </w:r>
            <w:r w:rsidR="0054662D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/2019</w:t>
            </w:r>
          </w:p>
        </w:tc>
      </w:tr>
      <w:tr w:rsidR="00810059" w:rsidRPr="001F4C2C" w:rsidTr="002B77AC">
        <w:trPr>
          <w:trHeight w:val="2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1F4C2C" w:rsidRDefault="00810059" w:rsidP="0081005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LOCAL: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59" w:rsidRPr="001F4C2C" w:rsidRDefault="0066576C" w:rsidP="005622A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</w:t>
            </w:r>
            <w:r w:rsidR="005622A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ede do</w:t>
            </w: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622A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Conselho regional de Administração (CRA</w:t>
            </w: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/MG</w:t>
            </w:r>
            <w:r w:rsidR="005622A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), Avenida Olegário Maciel, 1.233, 7° andar, Lourdes, Belo Horizonte/MG.</w:t>
            </w:r>
          </w:p>
        </w:tc>
      </w:tr>
      <w:tr w:rsidR="00810059" w:rsidRPr="001F4C2C" w:rsidTr="002B77AC">
        <w:trPr>
          <w:trHeight w:val="2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1F4C2C" w:rsidRDefault="00810059" w:rsidP="0081005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HORÁRIO: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59" w:rsidRPr="001F4C2C" w:rsidRDefault="00CE3C2F" w:rsidP="002402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08</w:t>
            </w:r>
            <w:r w:rsidR="008120FF" w:rsidRPr="0054093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h</w:t>
            </w:r>
            <w:r w:rsidR="00F57035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3</w:t>
            </w:r>
            <w:r w:rsidR="00A97D32" w:rsidRPr="0054093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0</w:t>
            </w:r>
            <w:r w:rsidR="0066576C" w:rsidRPr="0054093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– </w:t>
            </w:r>
            <w:r w:rsidR="007414A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</w:t>
            </w:r>
            <w:r w:rsidR="005622A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6</w:t>
            </w:r>
            <w:r w:rsidR="0054093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h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0</w:t>
            </w:r>
            <w:r w:rsidR="00540934" w:rsidRPr="0054093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810059" w:rsidRPr="001F4C2C" w:rsidTr="002B77AC">
        <w:trPr>
          <w:trHeight w:val="215"/>
        </w:trPr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1F4C2C" w:rsidRDefault="00810059" w:rsidP="00810059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2. PARTICIPAÇÃO:</w:t>
            </w:r>
          </w:p>
        </w:tc>
      </w:tr>
      <w:tr w:rsidR="00810059" w:rsidRPr="001F4C2C" w:rsidTr="002B77AC">
        <w:trPr>
          <w:trHeight w:val="2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1F4C2C" w:rsidRDefault="00810059" w:rsidP="0081005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PRESIDIDA POR 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59" w:rsidRPr="001F4C2C" w:rsidRDefault="00EB7FCD" w:rsidP="00EB7FC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Douglas Paiva Costa e Silva,</w:t>
            </w:r>
            <w:r w:rsidR="00337B9B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C509F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Coor</w:t>
            </w:r>
            <w:r w:rsidR="00546AEE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denador</w:t>
            </w:r>
            <w:r w:rsidR="00BE6320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C509F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da COA-CAU/MG                                                 </w:t>
            </w:r>
          </w:p>
        </w:tc>
      </w:tr>
      <w:tr w:rsidR="00810059" w:rsidRPr="001F4C2C" w:rsidTr="002B77AC">
        <w:trPr>
          <w:trHeight w:val="2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1F4C2C" w:rsidRDefault="00810059" w:rsidP="0081005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TIPO DE REUNIÃO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59" w:rsidRPr="001F4C2C" w:rsidRDefault="00DC4445" w:rsidP="007414A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O</w:t>
            </w:r>
            <w:r w:rsidR="001B30D9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r</w:t>
            </w:r>
            <w:r w:rsidR="00EB2AD7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dinária</w:t>
            </w:r>
          </w:p>
        </w:tc>
      </w:tr>
      <w:tr w:rsidR="00810059" w:rsidRPr="001F4C2C" w:rsidTr="002B77AC">
        <w:trPr>
          <w:trHeight w:val="2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1F4C2C" w:rsidRDefault="00810059" w:rsidP="0081005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ASSESSORIA 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59" w:rsidRPr="001F4C2C" w:rsidRDefault="00240205" w:rsidP="0007522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Marcus César Martins da Cruz, Arquiteto Analista do</w:t>
            </w:r>
            <w:r w:rsidR="008321A5"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CAU/MG</w:t>
            </w:r>
          </w:p>
        </w:tc>
      </w:tr>
      <w:tr w:rsidR="008321A5" w:rsidRPr="001F4C2C" w:rsidTr="002B77AC">
        <w:trPr>
          <w:trHeight w:val="21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1A5" w:rsidRPr="001F4C2C" w:rsidRDefault="008321A5" w:rsidP="007D58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PARTICIPANTES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1A5" w:rsidRPr="001F4C2C" w:rsidRDefault="008321A5" w:rsidP="0081005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1A5" w:rsidRPr="001F4C2C" w:rsidRDefault="008321A5" w:rsidP="0081005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Cargo/função</w:t>
            </w:r>
          </w:p>
        </w:tc>
      </w:tr>
      <w:tr w:rsidR="007414A4" w:rsidRPr="001F4C2C" w:rsidTr="002B77AC">
        <w:trPr>
          <w:trHeight w:val="215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414A4" w:rsidRPr="001F4C2C" w:rsidRDefault="007414A4" w:rsidP="007414A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4A4" w:rsidRPr="003D433A" w:rsidRDefault="00F57035" w:rsidP="007414A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Patricia Martins Jacobina Rabelo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4A4" w:rsidRPr="003D433A" w:rsidRDefault="00F57035" w:rsidP="007414A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Coordenadora adjunta COA-CAU/MG</w:t>
            </w:r>
          </w:p>
        </w:tc>
      </w:tr>
      <w:tr w:rsidR="00F57035" w:rsidRPr="001F4C2C" w:rsidTr="002B77AC">
        <w:trPr>
          <w:trHeight w:val="215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57035" w:rsidRPr="001F4C2C" w:rsidRDefault="00F57035" w:rsidP="007414A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035" w:rsidRDefault="00F57035" w:rsidP="007414A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Marcia Andrade Schaun Reis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035" w:rsidRPr="003D433A" w:rsidRDefault="00F57035" w:rsidP="00F57035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D433A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Membro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Titular</w:t>
            </w:r>
            <w:r w:rsidRPr="003D433A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COA-CAU/MG</w:t>
            </w:r>
          </w:p>
        </w:tc>
      </w:tr>
      <w:tr w:rsidR="007414A4" w:rsidRPr="001F4C2C" w:rsidTr="002B77AC">
        <w:trPr>
          <w:trHeight w:val="215"/>
        </w:trPr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414A4" w:rsidRPr="001F4C2C" w:rsidRDefault="007414A4" w:rsidP="007414A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3. PAUTA:</w:t>
            </w:r>
          </w:p>
        </w:tc>
      </w:tr>
      <w:tr w:rsidR="007414A4" w:rsidRPr="001F4C2C" w:rsidTr="002B77AC">
        <w:trPr>
          <w:trHeight w:val="215"/>
        </w:trPr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A4" w:rsidRPr="001F4C2C" w:rsidRDefault="007414A4" w:rsidP="00F57035">
            <w:pPr>
              <w:jc w:val="both"/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Verificação do quórum:</w:t>
            </w:r>
            <w:r w:rsidRPr="001F4C2C">
              <w:t xml:space="preserve"> </w:t>
            </w:r>
            <w:r w:rsidRPr="001F4C2C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registra-se a presença de todos os membros convocados para esta reunião de 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comissão.</w:t>
            </w:r>
          </w:p>
        </w:tc>
      </w:tr>
      <w:tr w:rsidR="007414A4" w:rsidRPr="001F4C2C" w:rsidTr="002B77AC">
        <w:trPr>
          <w:trHeight w:val="215"/>
        </w:trPr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A4" w:rsidRPr="001F4C2C" w:rsidRDefault="007414A4" w:rsidP="00CE3C2F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Discussão e aprovação de Súmula: </w:t>
            </w:r>
            <w:r w:rsidR="00DC4445">
              <w:t xml:space="preserve"> </w:t>
            </w:r>
            <w:r w:rsidR="00DC4445" w:rsidRPr="00DC4445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Súmula</w:t>
            </w:r>
            <w:r w:rsidR="005622A6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da</w:t>
            </w:r>
            <w:r w:rsidR="00DC4445" w:rsidRPr="00DC4445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19</w:t>
            </w:r>
            <w:r w:rsidR="00CE3C2F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="00DC4445" w:rsidRPr="00DC4445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ª reunião foi apreciada e aprovada. As súmulas da 186ª </w:t>
            </w:r>
            <w:r w:rsidR="005622A6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e 187ª </w:t>
            </w:r>
            <w:r w:rsidR="00CE3C2F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foram</w:t>
            </w:r>
            <w:r w:rsidR="005622A6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encaminhadas</w:t>
            </w:r>
            <w:r w:rsidR="00DC4445" w:rsidRPr="00DC4445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para a a</w:t>
            </w:r>
            <w:r w:rsidR="005622A6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preciação do Cons. Vitor França, atra</w:t>
            </w:r>
            <w:r w:rsidR="00CE3C2F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vés da Cons. Patrícia Oliveira.</w:t>
            </w:r>
          </w:p>
        </w:tc>
      </w:tr>
      <w:tr w:rsidR="007414A4" w:rsidRPr="001F4C2C" w:rsidTr="002B77AC">
        <w:trPr>
          <w:trHeight w:val="215"/>
        </w:trPr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B3" w:rsidRDefault="007414A4" w:rsidP="00922D9A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Comunicados:</w:t>
            </w:r>
          </w:p>
          <w:p w:rsidR="00CE3C2F" w:rsidRPr="00CE3C2F" w:rsidRDefault="00CE3C2F" w:rsidP="00CE3C2F">
            <w:pPr>
              <w:numPr>
                <w:ilvl w:val="0"/>
                <w:numId w:val="32"/>
              </w:numPr>
              <w:jc w:val="both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</w:pPr>
            <w:r w:rsidRPr="00CE3C2F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Plano de Ação – 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ainda não foram retornadas</w:t>
            </w:r>
            <w:r w:rsidRPr="00CE3C2F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informações 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sobre</w:t>
            </w:r>
            <w:r w:rsidRPr="00CE3C2F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treinamentos no CAU/MG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, solicitadas à unidade administrativa responsável </w:t>
            </w:r>
            <w:r w:rsidRPr="00CE3C2F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(ref. P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rotocolo SICCAU n° 867665/2019)</w:t>
            </w:r>
            <w:r w:rsidRPr="00CE3C2F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  <w:p w:rsidR="00CE3C2F" w:rsidRPr="00CE3C2F" w:rsidRDefault="00CE3C2F" w:rsidP="00CE3C2F">
            <w:pPr>
              <w:numPr>
                <w:ilvl w:val="0"/>
                <w:numId w:val="32"/>
              </w:numPr>
              <w:jc w:val="both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</w:pPr>
            <w:r w:rsidRPr="00CE3C2F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Relatório Anual das Comissões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- ainda não foram retornadas</w:t>
            </w:r>
            <w:r w:rsidRPr="00CE3C2F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contribuições (Protocolo SICCAU n° 888954/2019).</w:t>
            </w:r>
          </w:p>
          <w:p w:rsidR="00CE3C2F" w:rsidRDefault="00CE3C2F" w:rsidP="00CE3C2F">
            <w:pPr>
              <w:numPr>
                <w:ilvl w:val="0"/>
                <w:numId w:val="32"/>
              </w:numPr>
              <w:jc w:val="both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</w:pPr>
            <w:r w:rsidRPr="00CE3C2F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Protocolo SICCAU n° 997362/2019 encaminhou solicitação do CAU/BR para que os CAU/UF encaminhem contribuições referentes a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proposta de resolução do CAU/BR que</w:t>
            </w:r>
            <w:r w:rsidRPr="00CE3C2F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define as diretrizes para as ações de fiscalização e </w:t>
            </w:r>
            <w:r w:rsidRPr="00CE3C2F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revoga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E3C2F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a Resolução n° 22 do CAU/BR. Matéria entrou na pauta.</w:t>
            </w:r>
          </w:p>
          <w:p w:rsidR="00CE3C2F" w:rsidRDefault="00CE3C2F" w:rsidP="00CE3C2F">
            <w:pPr>
              <w:numPr>
                <w:ilvl w:val="0"/>
                <w:numId w:val="32"/>
              </w:numPr>
              <w:jc w:val="both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</w:pPr>
            <w:r w:rsidRPr="00CE3C2F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A assessoria COA-CAU/MG entrou em contato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, por meio de correspondência,</w:t>
            </w:r>
            <w:r w:rsidRPr="00CE3C2F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com a COA-CAU/BR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, em 18/11/2019,</w:t>
            </w:r>
            <w:r w:rsidRPr="00CE3C2F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para saber da programação do V Encontro Naci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onal da COA que ocorrerá, em 28 e 29 de novembro, em Brasília/DF. A programação foi enviada por meio de correspondência eletrônica, durante a reunião e foi apreciada pelos membros da Comissão.</w:t>
            </w:r>
          </w:p>
          <w:p w:rsidR="00833C15" w:rsidRDefault="00CE3C2F" w:rsidP="00CE3C2F">
            <w:pPr>
              <w:numPr>
                <w:ilvl w:val="0"/>
                <w:numId w:val="32"/>
              </w:numPr>
              <w:jc w:val="both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O Coordenador da COA-CAU/MG, Douglas Paiva, informou que a proposta de convênios com entidades público e privadas foi apreciada e aprovada pelo Plenário, em 18 de novembro, tendo sido solicitado à COA-CAU/MG que elabore minuta de chamada pública. Matéria entrou na ordem do dia.</w:t>
            </w:r>
          </w:p>
          <w:p w:rsidR="00CE3C2F" w:rsidRDefault="00CE3C2F" w:rsidP="00CE3C2F">
            <w:pPr>
              <w:numPr>
                <w:ilvl w:val="0"/>
                <w:numId w:val="32"/>
              </w:numPr>
              <w:jc w:val="both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Além disso, o Coordenador comunicou que a minuta de convênio do CAU/MG com o SEBRAE elaborada pelo Colegiado de Entidades de Arquitetos e Urbanistas (CEAU-CAU/MG) também teve apreciação do Plenário que solicitará formalmente apreciação da COA-CAU/MG.</w:t>
            </w:r>
          </w:p>
          <w:p w:rsidR="00CE3C2F" w:rsidRDefault="00CE3C2F" w:rsidP="00CE3C2F">
            <w:pPr>
              <w:numPr>
                <w:ilvl w:val="0"/>
                <w:numId w:val="32"/>
              </w:numPr>
              <w:jc w:val="both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Quanto à Minuta de Portaria que trata do convite e convocação de Arquitetos e Urbanistas para eventos do CAU/MG, está já foi apreciada pela Gerência Jurídica e está com a Secretária do Plenário para providências.</w:t>
            </w:r>
          </w:p>
          <w:p w:rsidR="002B77AC" w:rsidRDefault="002B77AC" w:rsidP="002B77AC">
            <w:pPr>
              <w:numPr>
                <w:ilvl w:val="0"/>
                <w:numId w:val="32"/>
              </w:numPr>
              <w:jc w:val="both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Foram solicitados esclarecimentos </w:t>
            </w:r>
            <w:r w:rsidRPr="002B77AC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pelas Assessorias da Comissão de Ensino e Formação (CEF-CAU/MG) e Comissão de Exercício Profissional (CEP-CAU/MG), encaminhadas por meio de correspondência eletrônica, em 14 de novembro de 2019, qu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anto à disponibilização de deliberações com anexos. N</w:t>
            </w:r>
            <w:r w:rsidRPr="002B77AC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o âmbito da CEF-CAU/MG são deliberadas aprovações dos registros profissionais, das anotações de curso e inclusão de títulos de especialização em Engenharia de Segurança do Trabalho e que nos pareceres elaborados constam as análises da documentação e dados pessoais dos requerentes, tendo ocorrido situação de profissional ter exigido seu nome fosse retirado desses documentos públicos, alegando divulgação de dados pessoais, passando a não serem mais anexados às deliberações estando disponíveis para consulta no sistema de Informação e Comunicação do Conselho de Arquitetura e Urbanismo (SICCAU). Quanto à CEF-CAU/MG, os processos de fiscalização apresentam nomes de profissionais e infrações em julgamento, antes do trânsito em julgado dos autos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. Matéria entrou na ordem do dia.</w:t>
            </w:r>
          </w:p>
          <w:p w:rsidR="002B77AC" w:rsidRDefault="002B77AC" w:rsidP="002B77AC">
            <w:pPr>
              <w:numPr>
                <w:ilvl w:val="0"/>
                <w:numId w:val="32"/>
              </w:numPr>
              <w:jc w:val="both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</w:pPr>
            <w:r w:rsidRPr="002B77AC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Para que 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a COA-CAU/MG </w:t>
            </w:r>
            <w:r w:rsidRPr="002B77AC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proceda à avaliação e, acaso verifique alguma incompatibilidade, promova as alterações pertinentes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, foi recebida por meio de Protocolo SICCAU n° </w:t>
            </w:r>
            <w:r w:rsidRPr="002B77AC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994759/2019, em 21 de outubro de 2019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2B77AC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a Deliberação Plenária do CAU/BR n° 0094-12/2019, de 20 de setembro de 2019, que homologou as diretrizes para utilização de veículo oficial nas autarquias do CAU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. Matéria entrou na ordem do dia.</w:t>
            </w:r>
          </w:p>
          <w:p w:rsidR="002B77AC" w:rsidRPr="001E1A62" w:rsidRDefault="002B77AC" w:rsidP="001E1A62">
            <w:pPr>
              <w:numPr>
                <w:ilvl w:val="0"/>
                <w:numId w:val="32"/>
              </w:numPr>
              <w:jc w:val="both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lastRenderedPageBreak/>
              <w:t>Quanto a adoção do Manual de Sindicância e de Processo Administrativo a partir do manual praticado no CAU/SP, a Assessoria da COA-CAU/MG comunicou que iniciou revisão dos documentos em termos de forma e estrutura e destacado alguns pontos que requerem análise da Gerência Jurídica.</w:t>
            </w:r>
          </w:p>
        </w:tc>
      </w:tr>
      <w:tr w:rsidR="001E1A62" w:rsidRPr="001F4C2C" w:rsidTr="002B77AC">
        <w:trPr>
          <w:trHeight w:val="215"/>
        </w:trPr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62" w:rsidRPr="001E1A62" w:rsidRDefault="001E1A62" w:rsidP="001E1A62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E1A6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Ordem do Dia</w:t>
            </w:r>
          </w:p>
          <w:p w:rsidR="001E1A62" w:rsidRPr="001E1A62" w:rsidRDefault="001E1A62" w:rsidP="001E1A62">
            <w:pPr>
              <w:jc w:val="both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</w:pPr>
            <w:r w:rsidRPr="001E1A6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3.1. </w:t>
            </w:r>
            <w:r w:rsidR="00305178" w:rsidRPr="0030517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Esclarecimento sobre anexos de </w:t>
            </w:r>
            <w:r w:rsidR="0030517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atos manifestados pelos</w:t>
            </w:r>
            <w:r w:rsidR="00305178" w:rsidRPr="0030517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órgãos colegiados</w:t>
            </w:r>
            <w:r w:rsidR="0030517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(ref. Protocolo SICCAU n</w:t>
            </w:r>
            <w:r w:rsidR="00CE756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° </w:t>
            </w:r>
            <w:r w:rsidR="00CE7568" w:rsidRPr="00CE756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992393/2019</w:t>
            </w:r>
            <w:r w:rsidR="00CE756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)</w:t>
            </w:r>
            <w:r w:rsidRPr="001E1A6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;</w:t>
            </w:r>
          </w:p>
          <w:p w:rsidR="001E1A62" w:rsidRPr="001E1A62" w:rsidRDefault="001E1A62" w:rsidP="001E1A62">
            <w:pPr>
              <w:jc w:val="both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</w:pPr>
            <w:r w:rsidRPr="001E1A6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3.2. </w:t>
            </w:r>
            <w:r w:rsidR="00CE7568" w:rsidRPr="00CE756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Deliberação Plenária do CAU/BR n° 0094-12/2019</w:t>
            </w:r>
            <w:r w:rsidR="00CE756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- </w:t>
            </w:r>
            <w:r w:rsidR="00CE7568" w:rsidRPr="00CE756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u</w:t>
            </w:r>
            <w:r w:rsidR="00CE756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so de veículos a serviço do CAU (ref. </w:t>
            </w:r>
            <w:r w:rsidR="00CE7568">
              <w:t xml:space="preserve"> </w:t>
            </w:r>
            <w:r w:rsidR="00CE7568" w:rsidRPr="00CE756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Protocolo SICCAU n° 994759/2019</w:t>
            </w:r>
            <w:r w:rsidR="00CE756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)</w:t>
            </w:r>
            <w:r w:rsidRPr="001E1A6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;</w:t>
            </w:r>
          </w:p>
          <w:p w:rsidR="001E1A62" w:rsidRPr="001E1A62" w:rsidRDefault="001E1A62" w:rsidP="00CE7568">
            <w:pPr>
              <w:jc w:val="both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</w:pPr>
            <w:r w:rsidRPr="001E1A6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3.3. </w:t>
            </w:r>
            <w:r w:rsidR="00CE7568" w:rsidRPr="00CE756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De</w:t>
            </w:r>
            <w:r w:rsidR="00CE756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liberação CEP-CAU/BR nº 69/2019 - </w:t>
            </w:r>
            <w:r w:rsidR="00CE7568" w:rsidRPr="00CE756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anteprojeto de resolução do CAU/BR que revoga a</w:t>
            </w:r>
            <w:r w:rsidR="00CE756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E7568" w:rsidRPr="00CE756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Resolução CAU/BR nº 22/2012 e o Manual de Fiscalização do CAU/BR e aprova o Plano</w:t>
            </w:r>
            <w:r w:rsidR="00CE756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E7568" w:rsidRPr="00CE756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Nacional de Fiscalização do CAU</w:t>
            </w:r>
            <w:r w:rsidRPr="001E1A6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;</w:t>
            </w:r>
          </w:p>
          <w:p w:rsidR="001E1A62" w:rsidRPr="001E1A62" w:rsidRDefault="001E1A62" w:rsidP="001E1A62">
            <w:pPr>
              <w:jc w:val="both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</w:pPr>
            <w:r w:rsidRPr="001E1A6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3.4. </w:t>
            </w:r>
            <w:r w:rsidR="00CE7568" w:rsidRPr="00CE756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Minuta </w:t>
            </w:r>
            <w:r w:rsidR="00CE756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de Chamada Pública de Convênios (Protocolo SICCAU n° </w:t>
            </w:r>
            <w:r w:rsidR="00CE7568" w:rsidRPr="00CE756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968604/2019</w:t>
            </w:r>
            <w:r w:rsidR="00CE756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)</w:t>
            </w:r>
            <w:r w:rsidRPr="001E1A6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;</w:t>
            </w:r>
          </w:p>
          <w:p w:rsidR="001E1A62" w:rsidRDefault="001E1A62" w:rsidP="001E1A62">
            <w:pPr>
              <w:jc w:val="both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</w:pPr>
            <w:r w:rsidRPr="001E1A6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3.5. Revisão do Manual de Sindicância</w:t>
            </w:r>
            <w:r w:rsidR="00CE756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e de Processo Administrativo Disciplinar</w:t>
            </w:r>
            <w:r w:rsidRPr="001E1A6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 xml:space="preserve"> (ref. P</w:t>
            </w:r>
            <w:r w:rsidR="00CE7568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rotocolo SICCAU n° 892488/2019);</w:t>
            </w:r>
          </w:p>
          <w:p w:rsidR="00CE7568" w:rsidRPr="001F4C2C" w:rsidRDefault="00CE7568" w:rsidP="001E1A62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3.6. Análise de Minuta de Convênio com SEBRAE.</w:t>
            </w:r>
          </w:p>
        </w:tc>
      </w:tr>
      <w:tr w:rsidR="001E1A62" w:rsidRPr="001F4C2C" w:rsidTr="002B77AC">
        <w:trPr>
          <w:trHeight w:val="215"/>
        </w:trPr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62" w:rsidRPr="001E1A62" w:rsidRDefault="001E1A62" w:rsidP="001E1A62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Outros assuntos:</w:t>
            </w:r>
          </w:p>
        </w:tc>
      </w:tr>
      <w:tr w:rsidR="001E1A62" w:rsidRPr="001F4C2C" w:rsidTr="002B77AC">
        <w:trPr>
          <w:trHeight w:val="215"/>
        </w:trPr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62" w:rsidRPr="006865EC" w:rsidRDefault="001E1A62" w:rsidP="001E1A62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Encerramento: 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A 192</w:t>
            </w:r>
            <w:r w:rsidRPr="006865EC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ª reunião foi encer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rada às 16h0</w:t>
            </w:r>
            <w:r w:rsidRPr="006865EC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BR"/>
              </w:rPr>
              <w:t>0.</w:t>
            </w:r>
          </w:p>
        </w:tc>
      </w:tr>
    </w:tbl>
    <w:p w:rsidR="006F6058" w:rsidRPr="006F6058" w:rsidRDefault="006F6058" w:rsidP="006F6058">
      <w:pPr>
        <w:rPr>
          <w:vanish/>
        </w:rPr>
      </w:pPr>
    </w:p>
    <w:p w:rsidR="0078055D" w:rsidRPr="0078055D" w:rsidRDefault="0078055D" w:rsidP="0078055D">
      <w:pPr>
        <w:rPr>
          <w:vanish/>
        </w:rPr>
      </w:pPr>
    </w:p>
    <w:tbl>
      <w:tblPr>
        <w:tblW w:w="9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7E209E" w:rsidRPr="006865EC" w:rsidTr="001E1A62">
        <w:trPr>
          <w:hidden/>
        </w:trPr>
        <w:tc>
          <w:tcPr>
            <w:tcW w:w="4744" w:type="dxa"/>
            <w:shd w:val="clear" w:color="auto" w:fill="auto"/>
          </w:tcPr>
          <w:p w:rsidR="007E209E" w:rsidRPr="006865EC" w:rsidRDefault="007E209E" w:rsidP="00935761">
            <w:pPr>
              <w:rPr>
                <w:vanish/>
              </w:rPr>
            </w:pPr>
          </w:p>
        </w:tc>
        <w:tc>
          <w:tcPr>
            <w:tcW w:w="4744" w:type="dxa"/>
            <w:shd w:val="clear" w:color="auto" w:fill="auto"/>
          </w:tcPr>
          <w:p w:rsidR="007E209E" w:rsidRPr="006865EC" w:rsidRDefault="007E209E" w:rsidP="00935761">
            <w:pPr>
              <w:rPr>
                <w:vanish/>
              </w:rPr>
            </w:pPr>
          </w:p>
        </w:tc>
      </w:tr>
      <w:tr w:rsidR="007E209E" w:rsidRPr="006865EC" w:rsidTr="001E1A62">
        <w:trPr>
          <w:hidden/>
        </w:trPr>
        <w:tc>
          <w:tcPr>
            <w:tcW w:w="4744" w:type="dxa"/>
            <w:shd w:val="clear" w:color="auto" w:fill="auto"/>
          </w:tcPr>
          <w:p w:rsidR="007E209E" w:rsidRPr="006865EC" w:rsidRDefault="007E209E" w:rsidP="00935761">
            <w:pPr>
              <w:rPr>
                <w:vanish/>
              </w:rPr>
            </w:pPr>
          </w:p>
        </w:tc>
        <w:tc>
          <w:tcPr>
            <w:tcW w:w="4744" w:type="dxa"/>
            <w:shd w:val="clear" w:color="auto" w:fill="auto"/>
          </w:tcPr>
          <w:p w:rsidR="007E209E" w:rsidRPr="006865EC" w:rsidRDefault="007E209E" w:rsidP="00935761">
            <w:pPr>
              <w:rPr>
                <w:vanish/>
              </w:rPr>
            </w:pPr>
          </w:p>
        </w:tc>
      </w:tr>
      <w:tr w:rsidR="007E209E" w:rsidRPr="006865EC" w:rsidTr="001E1A62">
        <w:trPr>
          <w:hidden/>
        </w:trPr>
        <w:tc>
          <w:tcPr>
            <w:tcW w:w="4744" w:type="dxa"/>
            <w:shd w:val="clear" w:color="auto" w:fill="auto"/>
          </w:tcPr>
          <w:p w:rsidR="007E209E" w:rsidRPr="006865EC" w:rsidRDefault="007E209E" w:rsidP="00935761">
            <w:pPr>
              <w:rPr>
                <w:vanish/>
              </w:rPr>
            </w:pPr>
          </w:p>
        </w:tc>
        <w:tc>
          <w:tcPr>
            <w:tcW w:w="4744" w:type="dxa"/>
            <w:shd w:val="clear" w:color="auto" w:fill="auto"/>
          </w:tcPr>
          <w:p w:rsidR="007E209E" w:rsidRPr="006865EC" w:rsidRDefault="007E209E" w:rsidP="00935761">
            <w:pPr>
              <w:rPr>
                <w:vanish/>
              </w:rPr>
            </w:pPr>
          </w:p>
        </w:tc>
      </w:tr>
    </w:tbl>
    <w:p w:rsidR="00984448" w:rsidRPr="00B731CB" w:rsidRDefault="00984448" w:rsidP="00935761">
      <w:pPr>
        <w:rPr>
          <w:vanish/>
          <w:sz w:val="20"/>
          <w:szCs w:val="20"/>
        </w:rPr>
      </w:pPr>
    </w:p>
    <w:p w:rsidR="006F6058" w:rsidRPr="006F6058" w:rsidRDefault="006F6058" w:rsidP="006F6058">
      <w:pPr>
        <w:rPr>
          <w:vanish/>
        </w:rPr>
      </w:pPr>
    </w:p>
    <w:p w:rsidR="00FB69D0" w:rsidRPr="00FB69D0" w:rsidRDefault="00FB69D0" w:rsidP="00FB69D0">
      <w:pPr>
        <w:rPr>
          <w:vanish/>
        </w:rPr>
      </w:pPr>
    </w:p>
    <w:p w:rsidR="008F2984" w:rsidRPr="001F4C2C" w:rsidRDefault="008F2984" w:rsidP="00481DCA">
      <w:pPr>
        <w:rPr>
          <w:vanish/>
          <w:sz w:val="10"/>
          <w:szCs w:val="10"/>
        </w:rPr>
      </w:pPr>
    </w:p>
    <w:p w:rsidR="004D38BE" w:rsidRPr="001F4C2C" w:rsidRDefault="004D38BE" w:rsidP="00FB6785">
      <w:pPr>
        <w:rPr>
          <w:rFonts w:ascii="Arial" w:hAnsi="Arial" w:cs="Arial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7E209E" w:rsidRPr="006865EC" w:rsidTr="006865EC">
        <w:tc>
          <w:tcPr>
            <w:tcW w:w="10207" w:type="dxa"/>
            <w:gridSpan w:val="2"/>
            <w:shd w:val="clear" w:color="auto" w:fill="D9D9D9"/>
          </w:tcPr>
          <w:p w:rsidR="007E209E" w:rsidRPr="006865EC" w:rsidRDefault="007E209E" w:rsidP="00FB678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865EC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4. Detalhamento dos assuntos a serem tratados</w:t>
            </w:r>
          </w:p>
        </w:tc>
      </w:tr>
      <w:tr w:rsidR="007E209E" w:rsidRPr="006865EC" w:rsidTr="006865EC">
        <w:tc>
          <w:tcPr>
            <w:tcW w:w="2127" w:type="dxa"/>
            <w:shd w:val="clear" w:color="auto" w:fill="D9D9D9"/>
            <w:vAlign w:val="center"/>
          </w:tcPr>
          <w:p w:rsidR="007E209E" w:rsidRPr="006865EC" w:rsidRDefault="007E209E" w:rsidP="007E209E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80" w:type="dxa"/>
            <w:shd w:val="clear" w:color="auto" w:fill="auto"/>
          </w:tcPr>
          <w:p w:rsidR="007E209E" w:rsidRPr="00984448" w:rsidRDefault="00984448" w:rsidP="00AA0BDE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8444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3.1. </w:t>
            </w:r>
            <w:r w:rsidR="00CE7568" w:rsidRPr="00CE756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Esclarecimento sobre anexos de atos manifestados pelos órgãos colegiados (ref. Protocolo SICCAU n° 992393/2019)</w:t>
            </w:r>
          </w:p>
        </w:tc>
      </w:tr>
      <w:tr w:rsidR="007E209E" w:rsidRPr="006865EC" w:rsidTr="006865EC">
        <w:tc>
          <w:tcPr>
            <w:tcW w:w="2127" w:type="dxa"/>
            <w:shd w:val="clear" w:color="auto" w:fill="D9D9D9"/>
            <w:vAlign w:val="center"/>
          </w:tcPr>
          <w:p w:rsidR="007E209E" w:rsidRPr="006865EC" w:rsidRDefault="007E209E" w:rsidP="007E209E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80" w:type="dxa"/>
            <w:shd w:val="clear" w:color="auto" w:fill="auto"/>
          </w:tcPr>
          <w:p w:rsidR="001E682D" w:rsidRPr="006865EC" w:rsidRDefault="00D055C4" w:rsidP="00D055C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Tendo recebido solicitação de esclarecimento de dúvidas das assessorias da CEF e da CEP do CAU/MG, os membros da COA-CAU/MG deliberaram por esclarecer que os documentos que devem ser juntados como anexo dos arquivos digitais de atos manifestados pelos órgãos colegiados do CAU/MG são aqueles</w:t>
            </w:r>
            <w:r w:rsidRPr="00D055C4">
              <w:rPr>
                <w:rFonts w:ascii="Calibri" w:hAnsi="Calibri" w:cs="Arial"/>
                <w:sz w:val="20"/>
                <w:szCs w:val="20"/>
              </w:rPr>
              <w:t xml:space="preserve"> que o próprio ato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se refere e </w:t>
            </w:r>
            <w:r w:rsidRPr="00D055C4">
              <w:rPr>
                <w:rFonts w:ascii="Calibri" w:hAnsi="Calibri" w:cs="Arial"/>
                <w:sz w:val="20"/>
                <w:szCs w:val="20"/>
              </w:rPr>
              <w:t xml:space="preserve">quando </w:t>
            </w: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Pr="00D055C4">
              <w:rPr>
                <w:rFonts w:ascii="Calibri" w:hAnsi="Calibri" w:cs="Arial"/>
                <w:sz w:val="20"/>
                <w:szCs w:val="20"/>
              </w:rPr>
              <w:t xml:space="preserve">a ausência </w:t>
            </w:r>
            <w:r>
              <w:rPr>
                <w:rFonts w:ascii="Calibri" w:hAnsi="Calibri" w:cs="Arial"/>
                <w:sz w:val="20"/>
                <w:szCs w:val="20"/>
              </w:rPr>
              <w:t>destes fica dificultado</w:t>
            </w:r>
            <w:r w:rsidRPr="00D055C4">
              <w:rPr>
                <w:rFonts w:ascii="Calibri" w:hAnsi="Calibri" w:cs="Arial"/>
                <w:sz w:val="20"/>
                <w:szCs w:val="20"/>
              </w:rPr>
              <w:t xml:space="preserve"> o entendimento das matérias tratadas n</w:t>
            </w:r>
            <w:r>
              <w:rPr>
                <w:rFonts w:ascii="Calibri" w:hAnsi="Calibri" w:cs="Arial"/>
                <w:sz w:val="20"/>
                <w:szCs w:val="20"/>
              </w:rPr>
              <w:t>os atos</w:t>
            </w:r>
            <w:r w:rsidRPr="00D055C4">
              <w:rPr>
                <w:rFonts w:ascii="Calibri" w:hAnsi="Calibri" w:cs="Arial"/>
                <w:sz w:val="20"/>
                <w:szCs w:val="20"/>
              </w:rPr>
              <w:t>, observando a publicidade como preceito geral e o sigilo como exceção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080A14" w:rsidRPr="006865EC" w:rsidTr="006865EC">
        <w:tc>
          <w:tcPr>
            <w:tcW w:w="2127" w:type="dxa"/>
            <w:shd w:val="clear" w:color="auto" w:fill="D9D9D9"/>
            <w:vAlign w:val="center"/>
          </w:tcPr>
          <w:p w:rsidR="00080A14" w:rsidRPr="006865EC" w:rsidRDefault="00080A14" w:rsidP="00080A1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80" w:type="dxa"/>
            <w:shd w:val="clear" w:color="auto" w:fill="auto"/>
          </w:tcPr>
          <w:p w:rsidR="00080A14" w:rsidRPr="00984448" w:rsidRDefault="00984448" w:rsidP="00080A14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8444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3.2. </w:t>
            </w:r>
            <w:r w:rsidR="00D055C4" w:rsidRPr="00D055C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Deliberação Plenária do CAU/BR n° 0094-12/2019 - uso de veículos a serviço do CAU (ref.  Protocolo SICCAU n° 994759/2019)</w:t>
            </w:r>
          </w:p>
        </w:tc>
      </w:tr>
      <w:tr w:rsidR="00080A14" w:rsidRPr="006865EC" w:rsidTr="006865EC">
        <w:tc>
          <w:tcPr>
            <w:tcW w:w="2127" w:type="dxa"/>
            <w:shd w:val="clear" w:color="auto" w:fill="D9D9D9"/>
            <w:vAlign w:val="center"/>
          </w:tcPr>
          <w:p w:rsidR="00080A14" w:rsidRPr="006865EC" w:rsidRDefault="00080A14" w:rsidP="00080A14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80" w:type="dxa"/>
            <w:shd w:val="clear" w:color="auto" w:fill="auto"/>
          </w:tcPr>
          <w:p w:rsidR="00A05719" w:rsidRPr="00922D9A" w:rsidRDefault="00D055C4" w:rsidP="00804C17">
            <w:pPr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 apreciação desta matéria partiu de dois pontos de observação: no CAU/MG está em vigor desde, </w:t>
            </w:r>
            <w:r w:rsidRPr="00D055C4">
              <w:rPr>
                <w:rFonts w:ascii="Calibri" w:hAnsi="Calibri" w:cs="Arial"/>
                <w:sz w:val="20"/>
                <w:szCs w:val="20"/>
              </w:rPr>
              <w:t>11 de agosto de 2015</w:t>
            </w:r>
            <w:r>
              <w:rPr>
                <w:rFonts w:ascii="Calibri" w:hAnsi="Calibri" w:cs="Arial"/>
                <w:sz w:val="20"/>
                <w:szCs w:val="20"/>
              </w:rPr>
              <w:t>, portaria que instrui o uso de veículos no Conselho e que esta instrução, embora seja operacionalizada por suas unidades administrativas, este procedimento não consta do Mapeamento de Processos do CAU/MG</w:t>
            </w:r>
            <w:r w:rsidR="00A05719">
              <w:rPr>
                <w:rFonts w:ascii="Calibri" w:hAnsi="Calibri" w:cs="Arial"/>
                <w:sz w:val="20"/>
                <w:szCs w:val="20"/>
              </w:rPr>
              <w:t xml:space="preserve"> realizado, em junho de 2017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Além disso, o transporte de </w:t>
            </w:r>
            <w:r w:rsidR="00A05719">
              <w:rPr>
                <w:rFonts w:ascii="Calibri" w:hAnsi="Calibri" w:cs="Arial"/>
                <w:sz w:val="20"/>
                <w:szCs w:val="20"/>
              </w:rPr>
              <w:t xml:space="preserve">colaboradores do CAU/MG também se dá por meio de contrato com serviço de táxi solicitado por aplicativo específico. Desta feita entendeu-se que a apreciação não se resume na comparação entre a Deliberação Plenária do CAU/BR e a Portaria do CAU/MG n° 111/2015 e, por isso, manifestaram por meio de deliberação que a Presidência do CAU/MG </w:t>
            </w:r>
            <w:r w:rsidR="00804C17">
              <w:rPr>
                <w:rFonts w:ascii="Calibri" w:hAnsi="Calibri" w:cs="Arial"/>
                <w:sz w:val="20"/>
                <w:szCs w:val="20"/>
              </w:rPr>
              <w:t>solicite à</w:t>
            </w:r>
            <w:r w:rsidR="00804C17">
              <w:t xml:space="preserve"> </w:t>
            </w:r>
            <w:r w:rsidR="00804C17" w:rsidRPr="00804C17">
              <w:rPr>
                <w:rFonts w:ascii="Calibri" w:hAnsi="Calibri" w:cs="Arial"/>
                <w:sz w:val="20"/>
                <w:szCs w:val="20"/>
              </w:rPr>
              <w:t xml:space="preserve">Gerência Administrativa e Financeira (GAF-CAU/MG) e à Gerência Técnica e de Fiscalização (Gertef-CAU/MG) para que verifiquem se os referidos dispositivos </w:t>
            </w:r>
            <w:r w:rsidR="00804C17">
              <w:rPr>
                <w:rFonts w:ascii="Calibri" w:hAnsi="Calibri" w:cs="Arial"/>
                <w:sz w:val="20"/>
                <w:szCs w:val="20"/>
              </w:rPr>
              <w:t xml:space="preserve">da Deliberação do CAU/BR </w:t>
            </w:r>
            <w:r w:rsidR="00804C17" w:rsidRPr="00804C17">
              <w:rPr>
                <w:rFonts w:ascii="Calibri" w:hAnsi="Calibri" w:cs="Arial"/>
                <w:sz w:val="20"/>
                <w:szCs w:val="20"/>
              </w:rPr>
              <w:t>ferem os procedimentos administrativos em vigor no CAU/MG qua</w:t>
            </w:r>
            <w:r w:rsidR="00804C17">
              <w:rPr>
                <w:rFonts w:ascii="Calibri" w:hAnsi="Calibri" w:cs="Arial"/>
                <w:sz w:val="20"/>
                <w:szCs w:val="20"/>
              </w:rPr>
              <w:t xml:space="preserve">nto ao uso de veículos oficiais e que não havendo </w:t>
            </w:r>
            <w:r w:rsidR="00804C17" w:rsidRPr="00804C17">
              <w:rPr>
                <w:rFonts w:ascii="Calibri" w:hAnsi="Calibri" w:cs="Arial"/>
                <w:sz w:val="20"/>
                <w:szCs w:val="20"/>
              </w:rPr>
              <w:t xml:space="preserve">impedimentos anunciados pelas referidas gerências, </w:t>
            </w:r>
            <w:r w:rsidR="00804C17">
              <w:rPr>
                <w:rFonts w:ascii="Calibri" w:hAnsi="Calibri" w:cs="Arial"/>
                <w:sz w:val="20"/>
                <w:szCs w:val="20"/>
              </w:rPr>
              <w:t xml:space="preserve">recomendou </w:t>
            </w:r>
            <w:r w:rsidR="00804C17" w:rsidRPr="00804C17">
              <w:rPr>
                <w:rFonts w:ascii="Calibri" w:hAnsi="Calibri" w:cs="Arial"/>
                <w:sz w:val="20"/>
                <w:szCs w:val="20"/>
              </w:rPr>
              <w:t>que sejam adotados na íntegra os dispositivos da Deliberação Plenária do CAU/BR ° 0094-12/2019 quanto à utilização de veículos oficiais no CAU/MG, revogando, portanto, a Portaria do CAU/MG n° 111, de 11 de agosto de 2015.</w:t>
            </w:r>
            <w:r w:rsidR="00804C17">
              <w:rPr>
                <w:rFonts w:ascii="Calibri" w:hAnsi="Calibri" w:cs="Arial"/>
                <w:sz w:val="20"/>
                <w:szCs w:val="20"/>
              </w:rPr>
              <w:t xml:space="preserve"> Não menos importante, solicitou que sejam manifestadas pelas referidas gerências </w:t>
            </w:r>
            <w:r w:rsidR="00804C17" w:rsidRPr="00804C17">
              <w:rPr>
                <w:rFonts w:ascii="Calibri" w:hAnsi="Calibri" w:cs="Arial"/>
                <w:sz w:val="20"/>
                <w:szCs w:val="20"/>
              </w:rPr>
              <w:t>quaisquer necessidades de revisão ou elaboração de documentos necessários para uso de veículos oficiais nos termos da citada deliberação do CAU/BR</w:t>
            </w:r>
            <w:r w:rsidR="00804C1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080A14" w:rsidRPr="006865EC" w:rsidTr="006865EC">
        <w:tc>
          <w:tcPr>
            <w:tcW w:w="2127" w:type="dxa"/>
            <w:shd w:val="clear" w:color="auto" w:fill="D9D9D9"/>
            <w:vAlign w:val="center"/>
          </w:tcPr>
          <w:p w:rsidR="00080A14" w:rsidRPr="006865EC" w:rsidRDefault="00080A14" w:rsidP="00080A1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80" w:type="dxa"/>
            <w:shd w:val="clear" w:color="auto" w:fill="auto"/>
          </w:tcPr>
          <w:p w:rsidR="00080A14" w:rsidRPr="006865EC" w:rsidRDefault="00833C15" w:rsidP="00080A14">
            <w:pPr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</w:pPr>
            <w:r w:rsidRPr="00833C15">
              <w:rPr>
                <w:rFonts w:ascii="Calibri" w:hAnsi="Calibri" w:cs="Arial"/>
                <w:b/>
                <w:sz w:val="20"/>
                <w:szCs w:val="20"/>
              </w:rPr>
              <w:t xml:space="preserve">3.3. </w:t>
            </w:r>
            <w:r w:rsidR="00D53D0D" w:rsidRPr="00D53D0D">
              <w:rPr>
                <w:rFonts w:ascii="Calibri" w:hAnsi="Calibri" w:cs="Arial"/>
                <w:b/>
                <w:sz w:val="20"/>
                <w:szCs w:val="20"/>
              </w:rPr>
              <w:t xml:space="preserve">Deliberação CEP-CAU/BR nº 69/2019 - anteprojeto de resolução do CAU/BR que revoga a Resolução CAU/BR nº 22/2012 e o Manual de Fiscalização do CAU/BR e aprova o Plano </w:t>
            </w:r>
            <w:r w:rsidR="00D53D0D">
              <w:rPr>
                <w:rFonts w:ascii="Calibri" w:hAnsi="Calibri" w:cs="Arial"/>
                <w:b/>
                <w:sz w:val="20"/>
                <w:szCs w:val="20"/>
              </w:rPr>
              <w:t>Nacional de Fiscalização do CAU</w:t>
            </w:r>
          </w:p>
        </w:tc>
      </w:tr>
      <w:tr w:rsidR="00080A14" w:rsidRPr="006865EC" w:rsidTr="006865EC">
        <w:tc>
          <w:tcPr>
            <w:tcW w:w="2127" w:type="dxa"/>
            <w:shd w:val="clear" w:color="auto" w:fill="D9D9D9"/>
            <w:vAlign w:val="center"/>
          </w:tcPr>
          <w:p w:rsidR="00080A14" w:rsidRPr="006865EC" w:rsidRDefault="00080A14" w:rsidP="00080A14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80" w:type="dxa"/>
            <w:shd w:val="clear" w:color="auto" w:fill="auto"/>
          </w:tcPr>
          <w:p w:rsidR="00FD7BF3" w:rsidRPr="00D53D0D" w:rsidRDefault="00B64C34" w:rsidP="00B64C3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="00D53D0D" w:rsidRPr="00D53D0D">
              <w:rPr>
                <w:rFonts w:ascii="Calibri" w:hAnsi="Calibri" w:cs="Arial"/>
                <w:sz w:val="20"/>
                <w:szCs w:val="20"/>
              </w:rPr>
              <w:t>ão foi perceb</w:t>
            </w:r>
            <w:r>
              <w:rPr>
                <w:rFonts w:ascii="Calibri" w:hAnsi="Calibri" w:cs="Arial"/>
                <w:sz w:val="20"/>
                <w:szCs w:val="20"/>
              </w:rPr>
              <w:t>ida necessidade de retificações</w:t>
            </w:r>
            <w:r w:rsidR="001F410A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080A14" w:rsidRPr="006865EC" w:rsidTr="006865EC">
        <w:tc>
          <w:tcPr>
            <w:tcW w:w="2127" w:type="dxa"/>
            <w:shd w:val="clear" w:color="auto" w:fill="D9D9D9"/>
            <w:vAlign w:val="center"/>
          </w:tcPr>
          <w:p w:rsidR="00080A14" w:rsidRPr="006865EC" w:rsidRDefault="00080A14" w:rsidP="00080A14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80" w:type="dxa"/>
            <w:shd w:val="clear" w:color="auto" w:fill="auto"/>
          </w:tcPr>
          <w:p w:rsidR="00080A14" w:rsidRPr="006865EC" w:rsidRDefault="007C76A8" w:rsidP="00080A14">
            <w:pPr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</w:pPr>
            <w:r w:rsidRPr="007C76A8">
              <w:rPr>
                <w:rFonts w:ascii="Calibri" w:hAnsi="Calibri" w:cs="Arial"/>
                <w:b/>
                <w:sz w:val="20"/>
                <w:szCs w:val="20"/>
              </w:rPr>
              <w:t xml:space="preserve">3.4. </w:t>
            </w:r>
            <w:r w:rsidR="00B64C34" w:rsidRPr="00B64C34">
              <w:rPr>
                <w:rFonts w:ascii="Calibri" w:hAnsi="Calibri" w:cs="Arial"/>
                <w:b/>
                <w:sz w:val="20"/>
                <w:szCs w:val="20"/>
              </w:rPr>
              <w:t>Minuta de Chamada Pública de Convênios (Protocolo SICCAU n° 968604/2019)</w:t>
            </w:r>
          </w:p>
        </w:tc>
      </w:tr>
      <w:tr w:rsidR="00080A14" w:rsidRPr="006865EC" w:rsidTr="006865EC">
        <w:tc>
          <w:tcPr>
            <w:tcW w:w="2127" w:type="dxa"/>
            <w:shd w:val="clear" w:color="auto" w:fill="D9D9D9"/>
            <w:vAlign w:val="center"/>
          </w:tcPr>
          <w:p w:rsidR="00080A14" w:rsidRPr="006865EC" w:rsidRDefault="00080A14" w:rsidP="00080A14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80" w:type="dxa"/>
            <w:shd w:val="clear" w:color="auto" w:fill="auto"/>
          </w:tcPr>
          <w:p w:rsidR="00E30C36" w:rsidRPr="00B64C34" w:rsidRDefault="00B64C34" w:rsidP="00B64C3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Por meio de contato telefônico com</w:t>
            </w:r>
            <w:r w:rsidRPr="00B64C3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o Sr. </w:t>
            </w:r>
            <w:r w:rsidRPr="00B64C34">
              <w:rPr>
                <w:rFonts w:ascii="Calibri" w:hAnsi="Calibri" w:cs="Arial"/>
                <w:sz w:val="20"/>
                <w:szCs w:val="20"/>
              </w:rPr>
              <w:t>Fábio do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setor jurídico do CAU/CE, foi</w:t>
            </w:r>
            <w:r w:rsidRPr="00B64C34">
              <w:rPr>
                <w:rFonts w:ascii="Calibri" w:hAnsi="Calibri" w:cs="Arial"/>
                <w:sz w:val="20"/>
                <w:szCs w:val="20"/>
              </w:rPr>
              <w:t xml:space="preserve"> solicitado modelo de chamada pública praticado no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CAU/CE, uma vez que no referido Conselho a concessão de benefícios a arquitetos(as) e urbanistas registrados no CAU tem se dado por meio de</w:t>
            </w:r>
            <w:r w:rsidRPr="00B64C34">
              <w:rPr>
                <w:rFonts w:ascii="Calibri" w:hAnsi="Calibri" w:cs="Arial"/>
                <w:sz w:val="20"/>
                <w:szCs w:val="20"/>
              </w:rPr>
              <w:t xml:space="preserve"> contratos decorrentes de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inexigibilidade de licitação devendo, portanto, </w:t>
            </w:r>
            <w:r w:rsidRPr="00B64C34">
              <w:rPr>
                <w:rFonts w:ascii="Calibri" w:hAnsi="Calibri" w:cs="Arial"/>
                <w:sz w:val="20"/>
                <w:szCs w:val="20"/>
              </w:rPr>
              <w:t xml:space="preserve">atender aos termos do ato que os </w:t>
            </w:r>
            <w:r w:rsidRPr="00B64C34">
              <w:rPr>
                <w:rFonts w:ascii="Calibri" w:hAnsi="Calibri" w:cs="Arial"/>
                <w:sz w:val="20"/>
                <w:szCs w:val="20"/>
              </w:rPr>
              <w:lastRenderedPageBreak/>
              <w:t xml:space="preserve">autorizou e da respectiva proposta. </w:t>
            </w:r>
            <w:r>
              <w:rPr>
                <w:rFonts w:ascii="Calibri" w:hAnsi="Calibri" w:cs="Arial"/>
                <w:sz w:val="20"/>
                <w:szCs w:val="20"/>
              </w:rPr>
              <w:t xml:space="preserve">A experiência no CAU/CE tem como parceiro </w:t>
            </w:r>
            <w:r w:rsidRPr="00B64C34">
              <w:rPr>
                <w:rFonts w:ascii="Calibri" w:hAnsi="Calibri" w:cs="Arial"/>
                <w:sz w:val="20"/>
                <w:szCs w:val="20"/>
              </w:rPr>
              <w:t xml:space="preserve">o </w:t>
            </w:r>
            <w:r>
              <w:rPr>
                <w:rFonts w:ascii="Calibri" w:hAnsi="Calibri" w:cs="Arial"/>
                <w:sz w:val="20"/>
                <w:szCs w:val="20"/>
              </w:rPr>
              <w:t>Instituto de Arquiteto do Brasil (</w:t>
            </w:r>
            <w:r w:rsidRPr="00B64C34">
              <w:rPr>
                <w:rFonts w:ascii="Calibri" w:hAnsi="Calibri" w:cs="Arial"/>
                <w:sz w:val="20"/>
                <w:szCs w:val="20"/>
              </w:rPr>
              <w:t>IAB/CE</w:t>
            </w:r>
            <w:r>
              <w:rPr>
                <w:rFonts w:ascii="Calibri" w:hAnsi="Calibri" w:cs="Arial"/>
                <w:sz w:val="20"/>
                <w:szCs w:val="20"/>
              </w:rPr>
              <w:t xml:space="preserve">) no que se refere ao benefício conveniado com operadora de </w:t>
            </w:r>
            <w:r w:rsidRPr="00B64C34">
              <w:rPr>
                <w:rFonts w:ascii="Calibri" w:hAnsi="Calibri" w:cs="Arial"/>
                <w:sz w:val="20"/>
                <w:szCs w:val="20"/>
              </w:rPr>
              <w:t>plano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Pr="00B64C34">
              <w:rPr>
                <w:rFonts w:ascii="Calibri" w:hAnsi="Calibri" w:cs="Arial"/>
                <w:sz w:val="20"/>
                <w:szCs w:val="20"/>
              </w:rPr>
              <w:t xml:space="preserve"> de saúde local.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 minuta será encaminha por meio de correspondência eletrônica à COA-CAU/MG.</w:t>
            </w:r>
          </w:p>
        </w:tc>
      </w:tr>
      <w:tr w:rsidR="00192027" w:rsidRPr="006865EC" w:rsidTr="006865EC">
        <w:tc>
          <w:tcPr>
            <w:tcW w:w="2127" w:type="dxa"/>
            <w:shd w:val="clear" w:color="auto" w:fill="D9D9D9"/>
            <w:vAlign w:val="center"/>
          </w:tcPr>
          <w:p w:rsidR="00192027" w:rsidRPr="006865EC" w:rsidRDefault="00192027" w:rsidP="00192027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ITEM DE PAUTA</w:t>
            </w:r>
          </w:p>
        </w:tc>
        <w:tc>
          <w:tcPr>
            <w:tcW w:w="8080" w:type="dxa"/>
            <w:shd w:val="clear" w:color="auto" w:fill="auto"/>
          </w:tcPr>
          <w:p w:rsidR="00192027" w:rsidRPr="00192027" w:rsidRDefault="00192027" w:rsidP="0019202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9202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3.5. </w:t>
            </w:r>
            <w:r w:rsidR="008429A0" w:rsidRPr="008429A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Revisão do Manual de Sindicância e de Processo Administrativo Disciplinar (ref. P</w:t>
            </w:r>
            <w:r w:rsidR="008429A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rotocolo SICCAU n° 892488/2019)</w:t>
            </w:r>
          </w:p>
        </w:tc>
      </w:tr>
      <w:tr w:rsidR="00192027" w:rsidRPr="006865EC" w:rsidTr="006865EC">
        <w:tc>
          <w:tcPr>
            <w:tcW w:w="2127" w:type="dxa"/>
            <w:shd w:val="clear" w:color="auto" w:fill="D9D9D9"/>
            <w:vAlign w:val="center"/>
          </w:tcPr>
          <w:p w:rsidR="00192027" w:rsidRPr="006865EC" w:rsidRDefault="00192027" w:rsidP="00192027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80" w:type="dxa"/>
            <w:shd w:val="clear" w:color="auto" w:fill="auto"/>
          </w:tcPr>
          <w:p w:rsidR="000A0A66" w:rsidRDefault="008429A0" w:rsidP="000A0A6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Não houve tempo hábil para a apreciação da matéria. Será retomada na próxima reunião ordinária.</w:t>
            </w:r>
          </w:p>
        </w:tc>
      </w:tr>
      <w:tr w:rsidR="008429A0" w:rsidRPr="006865EC" w:rsidTr="006865EC">
        <w:tc>
          <w:tcPr>
            <w:tcW w:w="2127" w:type="dxa"/>
            <w:shd w:val="clear" w:color="auto" w:fill="D9D9D9"/>
            <w:vAlign w:val="center"/>
          </w:tcPr>
          <w:p w:rsidR="008429A0" w:rsidRPr="006865EC" w:rsidRDefault="008429A0" w:rsidP="008429A0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80" w:type="dxa"/>
            <w:shd w:val="clear" w:color="auto" w:fill="auto"/>
          </w:tcPr>
          <w:p w:rsidR="008429A0" w:rsidRPr="008429A0" w:rsidRDefault="008429A0" w:rsidP="008429A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429A0">
              <w:rPr>
                <w:rFonts w:ascii="Calibri" w:hAnsi="Calibri" w:cs="Arial"/>
                <w:b/>
                <w:sz w:val="20"/>
                <w:szCs w:val="20"/>
              </w:rPr>
              <w:t>3.6. Análise de Minuta de Convênio com SEBRAE.</w:t>
            </w:r>
          </w:p>
        </w:tc>
      </w:tr>
      <w:tr w:rsidR="008429A0" w:rsidRPr="006865EC" w:rsidTr="006865EC">
        <w:tc>
          <w:tcPr>
            <w:tcW w:w="2127" w:type="dxa"/>
            <w:shd w:val="clear" w:color="auto" w:fill="D9D9D9"/>
            <w:vAlign w:val="center"/>
          </w:tcPr>
          <w:p w:rsidR="008429A0" w:rsidRPr="006865EC" w:rsidRDefault="008429A0" w:rsidP="008429A0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6865EC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80" w:type="dxa"/>
            <w:shd w:val="clear" w:color="auto" w:fill="auto"/>
          </w:tcPr>
          <w:p w:rsidR="008429A0" w:rsidRDefault="008429A0" w:rsidP="008429A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Matéria será apreciada quando encaminhada formalmente à COA-CAU/MG pela Gerência Jurídica do CAU/MG.</w:t>
            </w:r>
          </w:p>
        </w:tc>
      </w:tr>
    </w:tbl>
    <w:p w:rsidR="0012477A" w:rsidRPr="0012477A" w:rsidRDefault="0012477A" w:rsidP="0012477A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96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4113"/>
      </w:tblGrid>
      <w:tr w:rsidR="007E209E" w:rsidRPr="001F4C2C" w:rsidTr="007E209E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09E" w:rsidRPr="001F4C2C" w:rsidRDefault="007E209E" w:rsidP="007E209E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ENCERRAMENTO:</w:t>
            </w:r>
          </w:p>
        </w:tc>
      </w:tr>
      <w:tr w:rsidR="007E209E" w:rsidRPr="001F4C2C" w:rsidTr="007E209E">
        <w:trPr>
          <w:trHeight w:val="16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7E209E" w:rsidRPr="001F4C2C" w:rsidTr="007E209E">
        <w:trPr>
          <w:trHeight w:val="99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09E" w:rsidRPr="001F4C2C" w:rsidRDefault="007E209E" w:rsidP="007E209E">
            <w:pPr>
              <w:jc w:val="both"/>
              <w:rPr>
                <w:rFonts w:ascii="Calibri" w:eastAsia="Times New Roman" w:hAnsi="Calibri"/>
                <w:lang w:eastAsia="pt-BR"/>
              </w:rPr>
            </w:pPr>
            <w:r w:rsidRPr="001F4C2C">
              <w:rPr>
                <w:rFonts w:ascii="Calibri" w:eastAsia="Times New Roman" w:hAnsi="Calibri"/>
                <w:lang w:eastAsia="pt-BR"/>
              </w:rPr>
              <w:t xml:space="preserve">Às </w:t>
            </w:r>
            <w:r w:rsidR="008429A0">
              <w:rPr>
                <w:rFonts w:ascii="Calibri" w:eastAsia="Times New Roman" w:hAnsi="Calibri"/>
                <w:lang w:eastAsia="pt-BR"/>
              </w:rPr>
              <w:t>16h0</w:t>
            </w:r>
            <w:r>
              <w:rPr>
                <w:rFonts w:ascii="Calibri" w:eastAsia="Times New Roman" w:hAnsi="Calibri"/>
                <w:lang w:eastAsia="pt-BR"/>
              </w:rPr>
              <w:t>0</w:t>
            </w:r>
            <w:r w:rsidRPr="001F4C2C">
              <w:rPr>
                <w:rFonts w:ascii="Calibri" w:eastAsia="Times New Roman" w:hAnsi="Calibri"/>
                <w:lang w:eastAsia="pt-BR"/>
              </w:rPr>
              <w:t xml:space="preserve">min, tendo sido o que havia a ser tratado, </w:t>
            </w:r>
            <w:r w:rsidR="0060326D">
              <w:rPr>
                <w:rFonts w:ascii="Calibri" w:eastAsia="Times New Roman" w:hAnsi="Calibri"/>
                <w:lang w:eastAsia="pt-BR"/>
              </w:rPr>
              <w:t xml:space="preserve">o </w:t>
            </w:r>
            <w:r w:rsidR="004A34D2">
              <w:rPr>
                <w:rFonts w:ascii="Calibri" w:eastAsia="Times New Roman" w:hAnsi="Calibri"/>
                <w:lang w:eastAsia="pt-BR"/>
              </w:rPr>
              <w:t>Coordenador</w:t>
            </w:r>
            <w:r w:rsidR="004A34D2" w:rsidRPr="001F4C2C">
              <w:rPr>
                <w:rFonts w:ascii="Calibri" w:eastAsia="Times New Roman" w:hAnsi="Calibri"/>
                <w:lang w:eastAsia="pt-BR"/>
              </w:rPr>
              <w:t xml:space="preserve"> </w:t>
            </w:r>
            <w:r w:rsidR="004A34D2" w:rsidRPr="000F5A02">
              <w:rPr>
                <w:rFonts w:ascii="Calibri" w:eastAsia="Times New Roman" w:hAnsi="Calibri"/>
                <w:b/>
                <w:lang w:eastAsia="pt-BR"/>
              </w:rPr>
              <w:t>Douglas</w:t>
            </w:r>
            <w:r w:rsidR="0060326D" w:rsidRPr="0060326D">
              <w:rPr>
                <w:rFonts w:ascii="Calibri" w:eastAsia="Times New Roman" w:hAnsi="Calibri"/>
                <w:b/>
                <w:lang w:eastAsia="pt-BR"/>
              </w:rPr>
              <w:t xml:space="preserve"> Paiva Costa e Silva</w:t>
            </w:r>
            <w:r w:rsidRPr="001F4C2C">
              <w:rPr>
                <w:rFonts w:ascii="Calibri" w:eastAsia="Times New Roman" w:hAnsi="Calibri"/>
                <w:b/>
                <w:lang w:eastAsia="pt-BR"/>
              </w:rPr>
              <w:t xml:space="preserve"> </w:t>
            </w:r>
            <w:r w:rsidR="00922D9A">
              <w:rPr>
                <w:rFonts w:ascii="Calibri" w:eastAsia="Times New Roman" w:hAnsi="Calibri"/>
                <w:lang w:eastAsia="pt-BR"/>
              </w:rPr>
              <w:t>encerrou a</w:t>
            </w:r>
            <w:r w:rsidR="0012477A">
              <w:rPr>
                <w:rFonts w:ascii="Calibri" w:eastAsia="Times New Roman" w:hAnsi="Calibri"/>
                <w:lang w:eastAsia="pt-BR"/>
              </w:rPr>
              <w:t xml:space="preserve"> 1</w:t>
            </w:r>
            <w:r w:rsidR="00C05140">
              <w:rPr>
                <w:rFonts w:ascii="Calibri" w:eastAsia="Times New Roman" w:hAnsi="Calibri"/>
                <w:lang w:eastAsia="pt-BR"/>
              </w:rPr>
              <w:t>9</w:t>
            </w:r>
            <w:r w:rsidR="008429A0">
              <w:rPr>
                <w:rFonts w:ascii="Calibri" w:eastAsia="Times New Roman" w:hAnsi="Calibri"/>
                <w:lang w:eastAsia="pt-BR"/>
              </w:rPr>
              <w:t>2</w:t>
            </w:r>
            <w:r w:rsidRPr="001F4C2C">
              <w:rPr>
                <w:rFonts w:ascii="Calibri" w:eastAsia="Times New Roman" w:hAnsi="Calibri"/>
                <w:lang w:eastAsia="pt-BR"/>
              </w:rPr>
              <w:t xml:space="preserve">ª Reunião </w:t>
            </w:r>
            <w:r w:rsidR="0012477A">
              <w:rPr>
                <w:rFonts w:ascii="Calibri" w:eastAsia="Times New Roman" w:hAnsi="Calibri"/>
                <w:lang w:eastAsia="pt-BR"/>
              </w:rPr>
              <w:t>Or</w:t>
            </w:r>
            <w:r w:rsidRPr="001F4C2C">
              <w:rPr>
                <w:rFonts w:ascii="Calibri" w:eastAsia="Times New Roman" w:hAnsi="Calibri"/>
                <w:lang w:eastAsia="pt-BR"/>
              </w:rPr>
              <w:t>dinária da Comissão de Organização e Administração do CAU/MG. Para os devidos fins, foi lavrada esta Súmula que segue assinada pelos participantes da reunião e pelo Assessor da Comissão Marcus César Martins da Cruz.</w:t>
            </w:r>
          </w:p>
          <w:p w:rsidR="007E209E" w:rsidRPr="001F4C2C" w:rsidRDefault="007E209E" w:rsidP="007E209E">
            <w:pPr>
              <w:jc w:val="both"/>
              <w:rPr>
                <w:rFonts w:ascii="Calibri" w:eastAsia="Times New Roman" w:hAnsi="Calibri"/>
                <w:color w:val="000000"/>
                <w:sz w:val="10"/>
                <w:szCs w:val="10"/>
                <w:lang w:eastAsia="pt-BR"/>
              </w:rPr>
            </w:pPr>
          </w:p>
        </w:tc>
      </w:tr>
    </w:tbl>
    <w:p w:rsidR="005C4AE3" w:rsidRDefault="005C4AE3" w:rsidP="00F54A56">
      <w:pPr>
        <w:spacing w:after="60"/>
        <w:rPr>
          <w:rFonts w:ascii="Calibri" w:hAnsi="Calibri" w:cs="Arial"/>
          <w:b/>
        </w:rPr>
      </w:pPr>
    </w:p>
    <w:p w:rsidR="00FB6785" w:rsidRPr="00AB16F0" w:rsidRDefault="0060326D" w:rsidP="00F54A56">
      <w:pPr>
        <w:spacing w:after="60"/>
        <w:rPr>
          <w:rFonts w:ascii="Calibri" w:hAnsi="Calibri"/>
        </w:rPr>
      </w:pPr>
      <w:r w:rsidRPr="00AB16F0">
        <w:rPr>
          <w:rFonts w:ascii="Calibri" w:hAnsi="Calibri" w:cs="Arial"/>
          <w:b/>
        </w:rPr>
        <w:t>Douglas Paiva Costa e Silva</w:t>
      </w:r>
      <w:r w:rsidRPr="00AB16F0">
        <w:rPr>
          <w:rFonts w:ascii="Calibri" w:hAnsi="Calibri" w:cs="Arial"/>
        </w:rPr>
        <w:t xml:space="preserve">            </w:t>
      </w:r>
      <w:r w:rsidRPr="00AB16F0">
        <w:rPr>
          <w:rFonts w:ascii="Calibri" w:hAnsi="Calibri" w:cs="Arial"/>
        </w:rPr>
        <w:tab/>
      </w:r>
      <w:r w:rsidR="00AB16F0">
        <w:rPr>
          <w:rFonts w:ascii="Calibri" w:hAnsi="Calibri" w:cs="Arial"/>
        </w:rPr>
        <w:t xml:space="preserve">             </w:t>
      </w:r>
      <w:r w:rsidR="00FB6785" w:rsidRPr="00AB16F0">
        <w:rPr>
          <w:rFonts w:ascii="Calibri" w:hAnsi="Calibri" w:cs="Arial"/>
        </w:rPr>
        <w:t xml:space="preserve"> ____________________________________         </w:t>
      </w:r>
    </w:p>
    <w:p w:rsidR="00B10DB7" w:rsidRPr="00AE71B9" w:rsidRDefault="00FB6785" w:rsidP="00AE71B9">
      <w:pPr>
        <w:spacing w:after="6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>Co</w:t>
      </w:r>
      <w:r w:rsidR="00F54A56" w:rsidRPr="00AE71B9">
        <w:rPr>
          <w:rFonts w:ascii="Calibri" w:hAnsi="Calibri" w:cs="Arial"/>
          <w:sz w:val="20"/>
          <w:szCs w:val="20"/>
        </w:rPr>
        <w:t>o</w:t>
      </w:r>
      <w:r w:rsidRPr="00AE71B9">
        <w:rPr>
          <w:rFonts w:ascii="Calibri" w:hAnsi="Calibri" w:cs="Arial"/>
          <w:sz w:val="20"/>
          <w:szCs w:val="20"/>
        </w:rPr>
        <w:t xml:space="preserve">rdenador da COA-CAU/MG                                            </w:t>
      </w:r>
      <w:r w:rsidR="005E0A31" w:rsidRPr="00AE71B9">
        <w:rPr>
          <w:rFonts w:ascii="Calibri" w:hAnsi="Calibri" w:cs="Arial"/>
          <w:sz w:val="20"/>
          <w:szCs w:val="20"/>
        </w:rPr>
        <w:t xml:space="preserve">     </w:t>
      </w:r>
    </w:p>
    <w:p w:rsidR="0012477A" w:rsidRDefault="0012477A" w:rsidP="00AE71B9">
      <w:pPr>
        <w:spacing w:after="60"/>
        <w:rPr>
          <w:rFonts w:ascii="Calibri" w:hAnsi="Calibri" w:cs="Arial"/>
          <w:b/>
        </w:rPr>
      </w:pPr>
    </w:p>
    <w:p w:rsidR="009D5F8B" w:rsidRPr="00AB16F0" w:rsidRDefault="00AE71B9" w:rsidP="00AE71B9">
      <w:pPr>
        <w:spacing w:after="60"/>
        <w:rPr>
          <w:rFonts w:ascii="Calibri" w:hAnsi="Calibri" w:cs="Arial"/>
        </w:rPr>
      </w:pPr>
      <w:r w:rsidRPr="00AE71B9">
        <w:rPr>
          <w:rFonts w:ascii="Calibri" w:hAnsi="Calibri" w:cs="Arial"/>
          <w:b/>
        </w:rPr>
        <w:t>Patricia Martins Jacobina Rabelo</w:t>
      </w:r>
      <w:r w:rsidRPr="00AE71B9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 xml:space="preserve">              </w:t>
      </w:r>
      <w:r w:rsidR="009D5F8B" w:rsidRPr="00AB16F0">
        <w:rPr>
          <w:rFonts w:ascii="Calibri" w:hAnsi="Calibri" w:cs="Arial"/>
        </w:rPr>
        <w:t>_____________________________________</w:t>
      </w:r>
    </w:p>
    <w:p w:rsidR="00313CB3" w:rsidRPr="00AE71B9" w:rsidRDefault="00AE71B9" w:rsidP="00F54A56">
      <w:pPr>
        <w:spacing w:after="6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>Coordenadora adjunta COA-CAU/MG</w:t>
      </w:r>
    </w:p>
    <w:p w:rsidR="0012477A" w:rsidRDefault="0012477A" w:rsidP="00F54A56">
      <w:pPr>
        <w:spacing w:after="60"/>
        <w:rPr>
          <w:rFonts w:ascii="Calibri" w:hAnsi="Calibri" w:cs="Arial"/>
          <w:b/>
        </w:rPr>
      </w:pPr>
    </w:p>
    <w:p w:rsidR="00AE71B9" w:rsidRDefault="00AE71B9" w:rsidP="00F54A56">
      <w:pPr>
        <w:spacing w:after="60"/>
        <w:rPr>
          <w:rFonts w:ascii="Calibri" w:hAnsi="Calibri" w:cs="Arial"/>
          <w:b/>
        </w:rPr>
      </w:pPr>
      <w:r w:rsidRPr="00AE71B9">
        <w:rPr>
          <w:rFonts w:ascii="Calibri" w:hAnsi="Calibri" w:cs="Arial"/>
          <w:b/>
        </w:rPr>
        <w:t>Marcia Andrade Schaun Reis</w:t>
      </w:r>
      <w:r w:rsidRPr="00AE71B9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 xml:space="preserve">                           </w:t>
      </w:r>
      <w:r w:rsidRPr="00AB16F0">
        <w:rPr>
          <w:rFonts w:ascii="Calibri" w:hAnsi="Calibri" w:cs="Arial"/>
        </w:rPr>
        <w:t>_____________________________________</w:t>
      </w:r>
    </w:p>
    <w:p w:rsidR="00AE71B9" w:rsidRPr="00AE71B9" w:rsidRDefault="00AE71B9" w:rsidP="00F54A56">
      <w:pPr>
        <w:spacing w:after="6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 xml:space="preserve">Membro Titular COA-CAU/MG                                         </w:t>
      </w:r>
    </w:p>
    <w:p w:rsidR="0012477A" w:rsidRDefault="0012477A" w:rsidP="00F54A56">
      <w:pPr>
        <w:spacing w:after="60"/>
        <w:rPr>
          <w:rFonts w:ascii="Calibri" w:hAnsi="Calibri" w:cs="Arial"/>
          <w:b/>
        </w:rPr>
      </w:pPr>
    </w:p>
    <w:p w:rsidR="00AB38C8" w:rsidRPr="00AB16F0" w:rsidRDefault="00C05140" w:rsidP="00F54A56">
      <w:pPr>
        <w:spacing w:after="60"/>
        <w:rPr>
          <w:rFonts w:ascii="Calibri" w:hAnsi="Calibri" w:cs="Arial"/>
        </w:rPr>
      </w:pPr>
      <w:r w:rsidRPr="00C05140">
        <w:rPr>
          <w:rFonts w:ascii="Calibri" w:hAnsi="Calibri" w:cs="Arial"/>
          <w:b/>
        </w:rPr>
        <w:t>Marcus César Martins da Cruz</w:t>
      </w:r>
      <w:r w:rsidR="008E7115" w:rsidRPr="008E7115">
        <w:rPr>
          <w:rFonts w:ascii="Calibri" w:hAnsi="Calibri" w:cs="Arial"/>
          <w:b/>
        </w:rPr>
        <w:t xml:space="preserve">  </w:t>
      </w:r>
      <w:r w:rsidR="004621EC" w:rsidRPr="00AB16F0">
        <w:rPr>
          <w:rFonts w:ascii="Calibri" w:hAnsi="Calibri" w:cs="Arial"/>
        </w:rPr>
        <w:tab/>
      </w:r>
      <w:r w:rsidR="005C4AE3">
        <w:rPr>
          <w:rFonts w:ascii="Calibri" w:hAnsi="Calibri" w:cs="Arial"/>
        </w:rPr>
        <w:t xml:space="preserve">             </w:t>
      </w:r>
      <w:r w:rsidR="00B073D6" w:rsidRPr="00AB16F0">
        <w:rPr>
          <w:rFonts w:ascii="Calibri" w:hAnsi="Calibri" w:cs="Arial"/>
        </w:rPr>
        <w:t xml:space="preserve"> </w:t>
      </w:r>
      <w:r w:rsidR="00AB16F0">
        <w:rPr>
          <w:rFonts w:ascii="Calibri" w:hAnsi="Calibri" w:cs="Arial"/>
        </w:rPr>
        <w:t>_</w:t>
      </w:r>
      <w:r w:rsidR="00AB38C8" w:rsidRPr="00AB16F0">
        <w:rPr>
          <w:rFonts w:ascii="Calibri" w:hAnsi="Calibri" w:cs="Arial"/>
        </w:rPr>
        <w:t xml:space="preserve">____________________________________                                </w:t>
      </w:r>
    </w:p>
    <w:p w:rsidR="00BA40B0" w:rsidRPr="0060326D" w:rsidRDefault="00C05140" w:rsidP="00F54A56">
      <w:pPr>
        <w:spacing w:after="60"/>
        <w:rPr>
          <w:rFonts w:ascii="Arial" w:hAnsi="Arial" w:cs="Arial"/>
          <w:sz w:val="10"/>
          <w:szCs w:val="10"/>
        </w:rPr>
      </w:pPr>
      <w:r>
        <w:rPr>
          <w:rFonts w:ascii="Calibri" w:hAnsi="Calibri" w:cs="Arial"/>
          <w:sz w:val="20"/>
          <w:szCs w:val="20"/>
        </w:rPr>
        <w:t>Assessoria COA-</w:t>
      </w:r>
      <w:r w:rsidR="008E7115" w:rsidRPr="008E7115">
        <w:rPr>
          <w:rFonts w:ascii="Calibri" w:hAnsi="Calibri" w:cs="Arial"/>
          <w:sz w:val="20"/>
          <w:szCs w:val="20"/>
        </w:rPr>
        <w:t>CAU/MG</w:t>
      </w:r>
      <w:r w:rsidR="00EA0EAE" w:rsidRPr="00F54A56">
        <w:rPr>
          <w:rFonts w:ascii="Arial" w:hAnsi="Arial" w:cs="Arial"/>
          <w:sz w:val="20"/>
          <w:szCs w:val="20"/>
        </w:rPr>
        <w:t xml:space="preserve">           </w:t>
      </w:r>
      <w:r w:rsidR="00F54A56">
        <w:rPr>
          <w:rFonts w:ascii="Arial" w:hAnsi="Arial" w:cs="Arial"/>
          <w:sz w:val="10"/>
          <w:szCs w:val="10"/>
        </w:rPr>
        <w:t xml:space="preserve"> </w:t>
      </w:r>
    </w:p>
    <w:sectPr w:rsidR="00BA40B0" w:rsidRPr="0060326D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5DA" w:rsidRDefault="00DD25DA" w:rsidP="00EE4FDD">
      <w:r>
        <w:separator/>
      </w:r>
    </w:p>
  </w:endnote>
  <w:endnote w:type="continuationSeparator" w:id="0">
    <w:p w:rsidR="00DD25DA" w:rsidRDefault="00DD25D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-916940</wp:posOffset>
          </wp:positionH>
          <wp:positionV relativeFrom="paragraph">
            <wp:posOffset>136525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E86794">
      <w:rPr>
        <w:b/>
        <w:bCs/>
        <w:noProof/>
      </w:rPr>
      <w:t>1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E86794">
      <w:rPr>
        <w:b/>
        <w:bCs/>
        <w:noProof/>
      </w:rPr>
      <w:t>3</w:t>
    </w:r>
    <w:r w:rsidR="007D3492">
      <w:rPr>
        <w:b/>
        <w:bCs/>
      </w:rPr>
      <w:fldChar w:fldCharType="end"/>
    </w:r>
  </w:p>
  <w:p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5DA" w:rsidRDefault="00DD25DA" w:rsidP="00EE4FDD">
      <w:r>
        <w:separator/>
      </w:r>
    </w:p>
  </w:footnote>
  <w:footnote w:type="continuationSeparator" w:id="0">
    <w:p w:rsidR="00DD25DA" w:rsidRDefault="00DD25D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92" w:rsidRDefault="00E8679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92" w:rsidRDefault="00E8679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1273"/>
    <w:multiLevelType w:val="hybridMultilevel"/>
    <w:tmpl w:val="066E1D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67824"/>
    <w:multiLevelType w:val="hybridMultilevel"/>
    <w:tmpl w:val="B80659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BDB"/>
    <w:multiLevelType w:val="hybridMultilevel"/>
    <w:tmpl w:val="137A6F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909F1"/>
    <w:multiLevelType w:val="hybridMultilevel"/>
    <w:tmpl w:val="3BE2CF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46485"/>
    <w:multiLevelType w:val="hybridMultilevel"/>
    <w:tmpl w:val="194E1F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3239C"/>
    <w:multiLevelType w:val="hybridMultilevel"/>
    <w:tmpl w:val="A20A0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524E9"/>
    <w:multiLevelType w:val="hybridMultilevel"/>
    <w:tmpl w:val="2894FEB8"/>
    <w:lvl w:ilvl="0" w:tplc="90FECEC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F3820"/>
    <w:multiLevelType w:val="hybridMultilevel"/>
    <w:tmpl w:val="C77EE3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24C59"/>
    <w:multiLevelType w:val="hybridMultilevel"/>
    <w:tmpl w:val="894C985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D673A1"/>
    <w:multiLevelType w:val="hybridMultilevel"/>
    <w:tmpl w:val="511649D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80DF7"/>
    <w:multiLevelType w:val="hybridMultilevel"/>
    <w:tmpl w:val="B90CA4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47F7D"/>
    <w:multiLevelType w:val="hybridMultilevel"/>
    <w:tmpl w:val="407E91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50823"/>
    <w:multiLevelType w:val="hybridMultilevel"/>
    <w:tmpl w:val="D026CE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C2A83"/>
    <w:multiLevelType w:val="hybridMultilevel"/>
    <w:tmpl w:val="3542B4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D1D11"/>
    <w:multiLevelType w:val="hybridMultilevel"/>
    <w:tmpl w:val="8CB21C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D5BF0"/>
    <w:multiLevelType w:val="hybridMultilevel"/>
    <w:tmpl w:val="8B5CCE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330D2"/>
    <w:multiLevelType w:val="hybridMultilevel"/>
    <w:tmpl w:val="4F165F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00028"/>
    <w:multiLevelType w:val="hybridMultilevel"/>
    <w:tmpl w:val="6C3833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0328D"/>
    <w:multiLevelType w:val="hybridMultilevel"/>
    <w:tmpl w:val="1D0A53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E7ED1"/>
    <w:multiLevelType w:val="hybridMultilevel"/>
    <w:tmpl w:val="C18A6F2C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7B6A7C"/>
    <w:multiLevelType w:val="hybridMultilevel"/>
    <w:tmpl w:val="C39238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14BD7"/>
    <w:multiLevelType w:val="hybridMultilevel"/>
    <w:tmpl w:val="983C9C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70BF6"/>
    <w:multiLevelType w:val="hybridMultilevel"/>
    <w:tmpl w:val="300CA3B6"/>
    <w:lvl w:ilvl="0" w:tplc="04160005">
      <w:start w:val="1"/>
      <w:numFmt w:val="bullet"/>
      <w:lvlText w:val=""/>
      <w:lvlJc w:val="left"/>
      <w:pPr>
        <w:ind w:left="81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3">
    <w:nsid w:val="4BD7457D"/>
    <w:multiLevelType w:val="hybridMultilevel"/>
    <w:tmpl w:val="055850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A3573"/>
    <w:multiLevelType w:val="hybridMultilevel"/>
    <w:tmpl w:val="7BBC3C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24B9A"/>
    <w:multiLevelType w:val="hybridMultilevel"/>
    <w:tmpl w:val="7908B8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76B58"/>
    <w:multiLevelType w:val="hybridMultilevel"/>
    <w:tmpl w:val="94643F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82685"/>
    <w:multiLevelType w:val="hybridMultilevel"/>
    <w:tmpl w:val="C71857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179AF"/>
    <w:multiLevelType w:val="hybridMultilevel"/>
    <w:tmpl w:val="23B4FB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80673"/>
    <w:multiLevelType w:val="hybridMultilevel"/>
    <w:tmpl w:val="04DA82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15C3B"/>
    <w:multiLevelType w:val="hybridMultilevel"/>
    <w:tmpl w:val="01B01A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90789"/>
    <w:multiLevelType w:val="hybridMultilevel"/>
    <w:tmpl w:val="6876E3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64A6E"/>
    <w:multiLevelType w:val="hybridMultilevel"/>
    <w:tmpl w:val="618EFE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45238"/>
    <w:multiLevelType w:val="hybridMultilevel"/>
    <w:tmpl w:val="D24EB7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B2B88"/>
    <w:multiLevelType w:val="hybridMultilevel"/>
    <w:tmpl w:val="840C5B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75479"/>
    <w:multiLevelType w:val="hybridMultilevel"/>
    <w:tmpl w:val="CC2EBE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102F1"/>
    <w:multiLevelType w:val="hybridMultilevel"/>
    <w:tmpl w:val="2E5E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C567B"/>
    <w:multiLevelType w:val="hybridMultilevel"/>
    <w:tmpl w:val="0840BE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B6703"/>
    <w:multiLevelType w:val="hybridMultilevel"/>
    <w:tmpl w:val="7908B8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8"/>
  </w:num>
  <w:num w:numId="3">
    <w:abstractNumId w:val="12"/>
  </w:num>
  <w:num w:numId="4">
    <w:abstractNumId w:val="35"/>
  </w:num>
  <w:num w:numId="5">
    <w:abstractNumId w:val="25"/>
  </w:num>
  <w:num w:numId="6">
    <w:abstractNumId w:val="40"/>
  </w:num>
  <w:num w:numId="7">
    <w:abstractNumId w:val="1"/>
  </w:num>
  <w:num w:numId="8">
    <w:abstractNumId w:val="30"/>
  </w:num>
  <w:num w:numId="9">
    <w:abstractNumId w:val="24"/>
  </w:num>
  <w:num w:numId="10">
    <w:abstractNumId w:val="16"/>
  </w:num>
  <w:num w:numId="11">
    <w:abstractNumId w:val="18"/>
  </w:num>
  <w:num w:numId="12">
    <w:abstractNumId w:val="36"/>
  </w:num>
  <w:num w:numId="13">
    <w:abstractNumId w:val="32"/>
  </w:num>
  <w:num w:numId="14">
    <w:abstractNumId w:val="7"/>
  </w:num>
  <w:num w:numId="15">
    <w:abstractNumId w:val="10"/>
  </w:num>
  <w:num w:numId="16">
    <w:abstractNumId w:val="31"/>
  </w:num>
  <w:num w:numId="17">
    <w:abstractNumId w:val="26"/>
  </w:num>
  <w:num w:numId="18">
    <w:abstractNumId w:val="8"/>
  </w:num>
  <w:num w:numId="19">
    <w:abstractNumId w:val="33"/>
  </w:num>
  <w:num w:numId="20">
    <w:abstractNumId w:val="4"/>
  </w:num>
  <w:num w:numId="21">
    <w:abstractNumId w:val="11"/>
  </w:num>
  <w:num w:numId="22">
    <w:abstractNumId w:val="29"/>
  </w:num>
  <w:num w:numId="23">
    <w:abstractNumId w:val="20"/>
  </w:num>
  <w:num w:numId="24">
    <w:abstractNumId w:val="13"/>
  </w:num>
  <w:num w:numId="25">
    <w:abstractNumId w:val="22"/>
  </w:num>
  <w:num w:numId="26">
    <w:abstractNumId w:val="19"/>
  </w:num>
  <w:num w:numId="27">
    <w:abstractNumId w:val="27"/>
  </w:num>
  <w:num w:numId="28">
    <w:abstractNumId w:val="21"/>
  </w:num>
  <w:num w:numId="29">
    <w:abstractNumId w:val="0"/>
  </w:num>
  <w:num w:numId="30">
    <w:abstractNumId w:val="17"/>
  </w:num>
  <w:num w:numId="31">
    <w:abstractNumId w:val="5"/>
  </w:num>
  <w:num w:numId="32">
    <w:abstractNumId w:val="39"/>
  </w:num>
  <w:num w:numId="33">
    <w:abstractNumId w:val="2"/>
  </w:num>
  <w:num w:numId="34">
    <w:abstractNumId w:val="14"/>
  </w:num>
  <w:num w:numId="35">
    <w:abstractNumId w:val="23"/>
  </w:num>
  <w:num w:numId="36">
    <w:abstractNumId w:val="34"/>
  </w:num>
  <w:num w:numId="37">
    <w:abstractNumId w:val="9"/>
  </w:num>
  <w:num w:numId="38">
    <w:abstractNumId w:val="15"/>
  </w:num>
  <w:num w:numId="39">
    <w:abstractNumId w:val="6"/>
  </w:num>
  <w:num w:numId="40">
    <w:abstractNumId w:val="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F3E"/>
    <w:rsid w:val="00002DC5"/>
    <w:rsid w:val="00010376"/>
    <w:rsid w:val="00010A9F"/>
    <w:rsid w:val="000139E6"/>
    <w:rsid w:val="00015C7B"/>
    <w:rsid w:val="00016094"/>
    <w:rsid w:val="00017619"/>
    <w:rsid w:val="0001772F"/>
    <w:rsid w:val="0002068A"/>
    <w:rsid w:val="0002108D"/>
    <w:rsid w:val="000218BC"/>
    <w:rsid w:val="00024F52"/>
    <w:rsid w:val="00025A9C"/>
    <w:rsid w:val="00026215"/>
    <w:rsid w:val="00027770"/>
    <w:rsid w:val="00027F18"/>
    <w:rsid w:val="00030470"/>
    <w:rsid w:val="00030A41"/>
    <w:rsid w:val="00031142"/>
    <w:rsid w:val="00031DB8"/>
    <w:rsid w:val="000326B6"/>
    <w:rsid w:val="00033D19"/>
    <w:rsid w:val="00034003"/>
    <w:rsid w:val="00034B81"/>
    <w:rsid w:val="000361E3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6A2F"/>
    <w:rsid w:val="00066FC4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80A14"/>
    <w:rsid w:val="000819F3"/>
    <w:rsid w:val="00083B12"/>
    <w:rsid w:val="000844F2"/>
    <w:rsid w:val="000855A7"/>
    <w:rsid w:val="00085C2F"/>
    <w:rsid w:val="00090858"/>
    <w:rsid w:val="000917C6"/>
    <w:rsid w:val="00092CE0"/>
    <w:rsid w:val="00093587"/>
    <w:rsid w:val="00097E4F"/>
    <w:rsid w:val="000A03EB"/>
    <w:rsid w:val="000A0A66"/>
    <w:rsid w:val="000A47E5"/>
    <w:rsid w:val="000A6FF5"/>
    <w:rsid w:val="000B15EF"/>
    <w:rsid w:val="000B23F6"/>
    <w:rsid w:val="000B29FF"/>
    <w:rsid w:val="000B33B4"/>
    <w:rsid w:val="000B5767"/>
    <w:rsid w:val="000C0C0C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6A92"/>
    <w:rsid w:val="000D7434"/>
    <w:rsid w:val="000D79D6"/>
    <w:rsid w:val="000D7A3B"/>
    <w:rsid w:val="000E0586"/>
    <w:rsid w:val="000E1DC2"/>
    <w:rsid w:val="000E2CBD"/>
    <w:rsid w:val="000E3A41"/>
    <w:rsid w:val="000E4E80"/>
    <w:rsid w:val="000F18AC"/>
    <w:rsid w:val="000F5A02"/>
    <w:rsid w:val="000F6D7C"/>
    <w:rsid w:val="000F7565"/>
    <w:rsid w:val="001017DE"/>
    <w:rsid w:val="00101C07"/>
    <w:rsid w:val="001023D9"/>
    <w:rsid w:val="00105700"/>
    <w:rsid w:val="001121B9"/>
    <w:rsid w:val="001123BD"/>
    <w:rsid w:val="0011493D"/>
    <w:rsid w:val="00117498"/>
    <w:rsid w:val="00117D26"/>
    <w:rsid w:val="00123C99"/>
    <w:rsid w:val="0012477A"/>
    <w:rsid w:val="00124A36"/>
    <w:rsid w:val="0012522D"/>
    <w:rsid w:val="001405A9"/>
    <w:rsid w:val="00140E3D"/>
    <w:rsid w:val="001456B9"/>
    <w:rsid w:val="001462E7"/>
    <w:rsid w:val="00146CBA"/>
    <w:rsid w:val="00153C04"/>
    <w:rsid w:val="0015673C"/>
    <w:rsid w:val="00162517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7337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3781"/>
    <w:rsid w:val="001A6253"/>
    <w:rsid w:val="001B11F6"/>
    <w:rsid w:val="001B2518"/>
    <w:rsid w:val="001B2CB7"/>
    <w:rsid w:val="001B30D9"/>
    <w:rsid w:val="001B3BED"/>
    <w:rsid w:val="001B5C3D"/>
    <w:rsid w:val="001B6E62"/>
    <w:rsid w:val="001B70BC"/>
    <w:rsid w:val="001B7A17"/>
    <w:rsid w:val="001C1BE4"/>
    <w:rsid w:val="001C3B11"/>
    <w:rsid w:val="001C4412"/>
    <w:rsid w:val="001C45BC"/>
    <w:rsid w:val="001D110A"/>
    <w:rsid w:val="001D3F01"/>
    <w:rsid w:val="001D42BF"/>
    <w:rsid w:val="001D5695"/>
    <w:rsid w:val="001D670B"/>
    <w:rsid w:val="001D67C7"/>
    <w:rsid w:val="001E1465"/>
    <w:rsid w:val="001E1A62"/>
    <w:rsid w:val="001E654E"/>
    <w:rsid w:val="001E682D"/>
    <w:rsid w:val="001E69A8"/>
    <w:rsid w:val="001E6EC7"/>
    <w:rsid w:val="001E789A"/>
    <w:rsid w:val="001F06E3"/>
    <w:rsid w:val="001F410A"/>
    <w:rsid w:val="001F4C2C"/>
    <w:rsid w:val="001F5259"/>
    <w:rsid w:val="001F5DC8"/>
    <w:rsid w:val="001F5E5F"/>
    <w:rsid w:val="001F7320"/>
    <w:rsid w:val="00201425"/>
    <w:rsid w:val="00202545"/>
    <w:rsid w:val="00215ED5"/>
    <w:rsid w:val="002169C8"/>
    <w:rsid w:val="002170C3"/>
    <w:rsid w:val="00222B7C"/>
    <w:rsid w:val="002272F8"/>
    <w:rsid w:val="00232820"/>
    <w:rsid w:val="00234C92"/>
    <w:rsid w:val="00235070"/>
    <w:rsid w:val="00235451"/>
    <w:rsid w:val="00235896"/>
    <w:rsid w:val="002375B2"/>
    <w:rsid w:val="00240205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6032B"/>
    <w:rsid w:val="00262CC1"/>
    <w:rsid w:val="00263523"/>
    <w:rsid w:val="002654CD"/>
    <w:rsid w:val="00266686"/>
    <w:rsid w:val="002702AA"/>
    <w:rsid w:val="0027200B"/>
    <w:rsid w:val="00272594"/>
    <w:rsid w:val="0027748A"/>
    <w:rsid w:val="0028246E"/>
    <w:rsid w:val="00282F1D"/>
    <w:rsid w:val="002839B1"/>
    <w:rsid w:val="002844B9"/>
    <w:rsid w:val="002851E8"/>
    <w:rsid w:val="0028705D"/>
    <w:rsid w:val="002900DC"/>
    <w:rsid w:val="00290C17"/>
    <w:rsid w:val="00291A7D"/>
    <w:rsid w:val="002929AD"/>
    <w:rsid w:val="0029636F"/>
    <w:rsid w:val="002974F3"/>
    <w:rsid w:val="002A03C2"/>
    <w:rsid w:val="002A0727"/>
    <w:rsid w:val="002A3D29"/>
    <w:rsid w:val="002A3F35"/>
    <w:rsid w:val="002A7505"/>
    <w:rsid w:val="002B065F"/>
    <w:rsid w:val="002B165B"/>
    <w:rsid w:val="002B5319"/>
    <w:rsid w:val="002B5F35"/>
    <w:rsid w:val="002B7362"/>
    <w:rsid w:val="002B77AC"/>
    <w:rsid w:val="002C06FB"/>
    <w:rsid w:val="002C56D1"/>
    <w:rsid w:val="002C6342"/>
    <w:rsid w:val="002C7667"/>
    <w:rsid w:val="002D0D68"/>
    <w:rsid w:val="002D0F29"/>
    <w:rsid w:val="002D2A61"/>
    <w:rsid w:val="002D391C"/>
    <w:rsid w:val="002D505F"/>
    <w:rsid w:val="002D7C07"/>
    <w:rsid w:val="002E13E5"/>
    <w:rsid w:val="002E212B"/>
    <w:rsid w:val="002E33C5"/>
    <w:rsid w:val="002E60CC"/>
    <w:rsid w:val="002E79BF"/>
    <w:rsid w:val="002E79F1"/>
    <w:rsid w:val="002E7B1C"/>
    <w:rsid w:val="002F2D0F"/>
    <w:rsid w:val="002F3386"/>
    <w:rsid w:val="002F3940"/>
    <w:rsid w:val="002F6054"/>
    <w:rsid w:val="002F66AB"/>
    <w:rsid w:val="002F6B88"/>
    <w:rsid w:val="003020FC"/>
    <w:rsid w:val="00303B5A"/>
    <w:rsid w:val="00304145"/>
    <w:rsid w:val="003045EF"/>
    <w:rsid w:val="00305178"/>
    <w:rsid w:val="003076A3"/>
    <w:rsid w:val="003078FD"/>
    <w:rsid w:val="00307CD2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3DD7"/>
    <w:rsid w:val="00354AC9"/>
    <w:rsid w:val="003554C1"/>
    <w:rsid w:val="00357034"/>
    <w:rsid w:val="00360453"/>
    <w:rsid w:val="00360BCB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824DF"/>
    <w:rsid w:val="003831AC"/>
    <w:rsid w:val="0038473E"/>
    <w:rsid w:val="00385490"/>
    <w:rsid w:val="00392537"/>
    <w:rsid w:val="00396127"/>
    <w:rsid w:val="00396D05"/>
    <w:rsid w:val="00396ED1"/>
    <w:rsid w:val="00397343"/>
    <w:rsid w:val="003A007E"/>
    <w:rsid w:val="003A384A"/>
    <w:rsid w:val="003A3C1D"/>
    <w:rsid w:val="003A7323"/>
    <w:rsid w:val="003B04BC"/>
    <w:rsid w:val="003B0604"/>
    <w:rsid w:val="003B08FA"/>
    <w:rsid w:val="003B1BBD"/>
    <w:rsid w:val="003B47D4"/>
    <w:rsid w:val="003B4E32"/>
    <w:rsid w:val="003C0738"/>
    <w:rsid w:val="003C10D8"/>
    <w:rsid w:val="003C2F04"/>
    <w:rsid w:val="003C3D48"/>
    <w:rsid w:val="003C4950"/>
    <w:rsid w:val="003C772A"/>
    <w:rsid w:val="003C7DEE"/>
    <w:rsid w:val="003D0C9E"/>
    <w:rsid w:val="003D433A"/>
    <w:rsid w:val="003D4A37"/>
    <w:rsid w:val="003E07BF"/>
    <w:rsid w:val="003E2C86"/>
    <w:rsid w:val="003E4694"/>
    <w:rsid w:val="003E79BF"/>
    <w:rsid w:val="003F0FD2"/>
    <w:rsid w:val="003F18B9"/>
    <w:rsid w:val="003F33E6"/>
    <w:rsid w:val="003F398C"/>
    <w:rsid w:val="003F662C"/>
    <w:rsid w:val="003F72A6"/>
    <w:rsid w:val="003F7368"/>
    <w:rsid w:val="00401FBA"/>
    <w:rsid w:val="0040496E"/>
    <w:rsid w:val="004049FE"/>
    <w:rsid w:val="004054AD"/>
    <w:rsid w:val="00406030"/>
    <w:rsid w:val="00407C25"/>
    <w:rsid w:val="00410F49"/>
    <w:rsid w:val="00410F61"/>
    <w:rsid w:val="00411056"/>
    <w:rsid w:val="0041124C"/>
    <w:rsid w:val="004112EF"/>
    <w:rsid w:val="00412913"/>
    <w:rsid w:val="004131C2"/>
    <w:rsid w:val="00413529"/>
    <w:rsid w:val="0041438F"/>
    <w:rsid w:val="004149FA"/>
    <w:rsid w:val="00416E02"/>
    <w:rsid w:val="00421D1D"/>
    <w:rsid w:val="00432604"/>
    <w:rsid w:val="00432D99"/>
    <w:rsid w:val="004336D4"/>
    <w:rsid w:val="0043409D"/>
    <w:rsid w:val="0043616F"/>
    <w:rsid w:val="00436FD6"/>
    <w:rsid w:val="00437489"/>
    <w:rsid w:val="0044107F"/>
    <w:rsid w:val="004417DB"/>
    <w:rsid w:val="00442909"/>
    <w:rsid w:val="004431C6"/>
    <w:rsid w:val="00443BFB"/>
    <w:rsid w:val="0044756A"/>
    <w:rsid w:val="00452C5B"/>
    <w:rsid w:val="004538C9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CA"/>
    <w:rsid w:val="00481E02"/>
    <w:rsid w:val="00483E68"/>
    <w:rsid w:val="00484437"/>
    <w:rsid w:val="004844B3"/>
    <w:rsid w:val="00484BD6"/>
    <w:rsid w:val="004862F4"/>
    <w:rsid w:val="004873D4"/>
    <w:rsid w:val="00494E7C"/>
    <w:rsid w:val="00497106"/>
    <w:rsid w:val="00497797"/>
    <w:rsid w:val="004A1F85"/>
    <w:rsid w:val="004A34D2"/>
    <w:rsid w:val="004B0ABD"/>
    <w:rsid w:val="004B1CD9"/>
    <w:rsid w:val="004B418F"/>
    <w:rsid w:val="004B536F"/>
    <w:rsid w:val="004B57B5"/>
    <w:rsid w:val="004B75F8"/>
    <w:rsid w:val="004C1B10"/>
    <w:rsid w:val="004C2570"/>
    <w:rsid w:val="004D3200"/>
    <w:rsid w:val="004D38BE"/>
    <w:rsid w:val="004D5612"/>
    <w:rsid w:val="004D6520"/>
    <w:rsid w:val="004D77A2"/>
    <w:rsid w:val="004E0FFB"/>
    <w:rsid w:val="004E4B71"/>
    <w:rsid w:val="004E6FDD"/>
    <w:rsid w:val="004F0236"/>
    <w:rsid w:val="004F3448"/>
    <w:rsid w:val="004F5A05"/>
    <w:rsid w:val="0050106E"/>
    <w:rsid w:val="0050434D"/>
    <w:rsid w:val="005043A8"/>
    <w:rsid w:val="00504B5A"/>
    <w:rsid w:val="005075D6"/>
    <w:rsid w:val="00512BC6"/>
    <w:rsid w:val="00514135"/>
    <w:rsid w:val="0052151C"/>
    <w:rsid w:val="005241D3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7E50"/>
    <w:rsid w:val="00540934"/>
    <w:rsid w:val="00542777"/>
    <w:rsid w:val="00542810"/>
    <w:rsid w:val="0054513A"/>
    <w:rsid w:val="00545475"/>
    <w:rsid w:val="0054662D"/>
    <w:rsid w:val="00546AEE"/>
    <w:rsid w:val="00546D23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864"/>
    <w:rsid w:val="005729E0"/>
    <w:rsid w:val="00574A92"/>
    <w:rsid w:val="00581923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7C75"/>
    <w:rsid w:val="005B7F3B"/>
    <w:rsid w:val="005C0744"/>
    <w:rsid w:val="005C3EF8"/>
    <w:rsid w:val="005C42B7"/>
    <w:rsid w:val="005C4AE3"/>
    <w:rsid w:val="005C5C66"/>
    <w:rsid w:val="005D02A2"/>
    <w:rsid w:val="005D189B"/>
    <w:rsid w:val="005E0A31"/>
    <w:rsid w:val="005F00ED"/>
    <w:rsid w:val="005F0323"/>
    <w:rsid w:val="005F069A"/>
    <w:rsid w:val="005F1168"/>
    <w:rsid w:val="005F11B5"/>
    <w:rsid w:val="005F1303"/>
    <w:rsid w:val="005F217D"/>
    <w:rsid w:val="005F302C"/>
    <w:rsid w:val="005F5171"/>
    <w:rsid w:val="0060326D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759"/>
    <w:rsid w:val="006169B1"/>
    <w:rsid w:val="00622800"/>
    <w:rsid w:val="00633E4B"/>
    <w:rsid w:val="0063510E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63129"/>
    <w:rsid w:val="0066576C"/>
    <w:rsid w:val="006705AB"/>
    <w:rsid w:val="006712FB"/>
    <w:rsid w:val="00675235"/>
    <w:rsid w:val="00680E51"/>
    <w:rsid w:val="0068366E"/>
    <w:rsid w:val="006838F7"/>
    <w:rsid w:val="00685A07"/>
    <w:rsid w:val="006865EC"/>
    <w:rsid w:val="00690453"/>
    <w:rsid w:val="006913EB"/>
    <w:rsid w:val="00693458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59A"/>
    <w:rsid w:val="006C18BF"/>
    <w:rsid w:val="006C3C3C"/>
    <w:rsid w:val="006C640E"/>
    <w:rsid w:val="006C70B2"/>
    <w:rsid w:val="006D008B"/>
    <w:rsid w:val="006D199C"/>
    <w:rsid w:val="006D1F9E"/>
    <w:rsid w:val="006D1FB8"/>
    <w:rsid w:val="006D3610"/>
    <w:rsid w:val="006D422C"/>
    <w:rsid w:val="006D48FF"/>
    <w:rsid w:val="006D4AE0"/>
    <w:rsid w:val="006D5B49"/>
    <w:rsid w:val="006E40E5"/>
    <w:rsid w:val="006E6927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FA5"/>
    <w:rsid w:val="00705B6A"/>
    <w:rsid w:val="00706800"/>
    <w:rsid w:val="00706FA7"/>
    <w:rsid w:val="00712ED8"/>
    <w:rsid w:val="00713797"/>
    <w:rsid w:val="00716385"/>
    <w:rsid w:val="00717065"/>
    <w:rsid w:val="007224EA"/>
    <w:rsid w:val="00726A60"/>
    <w:rsid w:val="00730332"/>
    <w:rsid w:val="0073106F"/>
    <w:rsid w:val="00735FDA"/>
    <w:rsid w:val="00736EEF"/>
    <w:rsid w:val="007377B9"/>
    <w:rsid w:val="00737CEA"/>
    <w:rsid w:val="007402B2"/>
    <w:rsid w:val="007414A4"/>
    <w:rsid w:val="00743283"/>
    <w:rsid w:val="0074599D"/>
    <w:rsid w:val="007479F6"/>
    <w:rsid w:val="007503AA"/>
    <w:rsid w:val="00750E7A"/>
    <w:rsid w:val="00750FFB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B3"/>
    <w:rsid w:val="00772419"/>
    <w:rsid w:val="007724A2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27B7"/>
    <w:rsid w:val="00792B17"/>
    <w:rsid w:val="0079524F"/>
    <w:rsid w:val="007A1261"/>
    <w:rsid w:val="007A16DD"/>
    <w:rsid w:val="007A181F"/>
    <w:rsid w:val="007A1F46"/>
    <w:rsid w:val="007A32F6"/>
    <w:rsid w:val="007A3F0F"/>
    <w:rsid w:val="007A75E2"/>
    <w:rsid w:val="007A7686"/>
    <w:rsid w:val="007B1247"/>
    <w:rsid w:val="007B1423"/>
    <w:rsid w:val="007B2310"/>
    <w:rsid w:val="007B2A01"/>
    <w:rsid w:val="007B2A47"/>
    <w:rsid w:val="007B72AA"/>
    <w:rsid w:val="007C4EE9"/>
    <w:rsid w:val="007C76A8"/>
    <w:rsid w:val="007D1C96"/>
    <w:rsid w:val="007D3492"/>
    <w:rsid w:val="007D3F8C"/>
    <w:rsid w:val="007D4B22"/>
    <w:rsid w:val="007D5835"/>
    <w:rsid w:val="007D6C71"/>
    <w:rsid w:val="007E0D6F"/>
    <w:rsid w:val="007E209E"/>
    <w:rsid w:val="007E2CED"/>
    <w:rsid w:val="007E57E8"/>
    <w:rsid w:val="007E6E3A"/>
    <w:rsid w:val="007E7449"/>
    <w:rsid w:val="007F0A43"/>
    <w:rsid w:val="007F117F"/>
    <w:rsid w:val="007F2B80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22A88"/>
    <w:rsid w:val="00822FC0"/>
    <w:rsid w:val="0082349F"/>
    <w:rsid w:val="00823B33"/>
    <w:rsid w:val="008249A4"/>
    <w:rsid w:val="0082645C"/>
    <w:rsid w:val="008270FB"/>
    <w:rsid w:val="00827FBE"/>
    <w:rsid w:val="008321A5"/>
    <w:rsid w:val="00833542"/>
    <w:rsid w:val="00833768"/>
    <w:rsid w:val="00833C15"/>
    <w:rsid w:val="00833FF2"/>
    <w:rsid w:val="0083573E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60A40"/>
    <w:rsid w:val="00861C7A"/>
    <w:rsid w:val="008646F4"/>
    <w:rsid w:val="0086505C"/>
    <w:rsid w:val="0086539E"/>
    <w:rsid w:val="008664D4"/>
    <w:rsid w:val="008728E1"/>
    <w:rsid w:val="0087365E"/>
    <w:rsid w:val="00873CEF"/>
    <w:rsid w:val="00873F25"/>
    <w:rsid w:val="008752E7"/>
    <w:rsid w:val="00880794"/>
    <w:rsid w:val="0088112A"/>
    <w:rsid w:val="008831E2"/>
    <w:rsid w:val="00884487"/>
    <w:rsid w:val="0088532E"/>
    <w:rsid w:val="00885B1F"/>
    <w:rsid w:val="00893386"/>
    <w:rsid w:val="00896DA0"/>
    <w:rsid w:val="008979B9"/>
    <w:rsid w:val="008A0AD9"/>
    <w:rsid w:val="008A23D5"/>
    <w:rsid w:val="008A5C72"/>
    <w:rsid w:val="008A6E1B"/>
    <w:rsid w:val="008A7D04"/>
    <w:rsid w:val="008B00DF"/>
    <w:rsid w:val="008B0BCF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9029BB"/>
    <w:rsid w:val="00902B2E"/>
    <w:rsid w:val="00903C5E"/>
    <w:rsid w:val="009064B8"/>
    <w:rsid w:val="009068A3"/>
    <w:rsid w:val="009135FC"/>
    <w:rsid w:val="00913B78"/>
    <w:rsid w:val="0091532C"/>
    <w:rsid w:val="00921537"/>
    <w:rsid w:val="00922D9A"/>
    <w:rsid w:val="009235DA"/>
    <w:rsid w:val="0092555B"/>
    <w:rsid w:val="00925B46"/>
    <w:rsid w:val="009264A2"/>
    <w:rsid w:val="00930B19"/>
    <w:rsid w:val="00931309"/>
    <w:rsid w:val="009318C9"/>
    <w:rsid w:val="00932BCD"/>
    <w:rsid w:val="00935761"/>
    <w:rsid w:val="009401BC"/>
    <w:rsid w:val="00941DEE"/>
    <w:rsid w:val="009425B8"/>
    <w:rsid w:val="00952183"/>
    <w:rsid w:val="009577D4"/>
    <w:rsid w:val="009608C0"/>
    <w:rsid w:val="00960E08"/>
    <w:rsid w:val="00967ECB"/>
    <w:rsid w:val="00973227"/>
    <w:rsid w:val="009736FE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5AB5"/>
    <w:rsid w:val="00996DAE"/>
    <w:rsid w:val="009973B5"/>
    <w:rsid w:val="009A0F94"/>
    <w:rsid w:val="009A1F4F"/>
    <w:rsid w:val="009A2382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F18"/>
    <w:rsid w:val="009C60BD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F4"/>
    <w:rsid w:val="00A01EA4"/>
    <w:rsid w:val="00A0567E"/>
    <w:rsid w:val="00A05719"/>
    <w:rsid w:val="00A115B9"/>
    <w:rsid w:val="00A11A8B"/>
    <w:rsid w:val="00A12AF0"/>
    <w:rsid w:val="00A145BE"/>
    <w:rsid w:val="00A15991"/>
    <w:rsid w:val="00A17B4B"/>
    <w:rsid w:val="00A2149A"/>
    <w:rsid w:val="00A21B5B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31D21"/>
    <w:rsid w:val="00A34067"/>
    <w:rsid w:val="00A4365D"/>
    <w:rsid w:val="00A52893"/>
    <w:rsid w:val="00A5651F"/>
    <w:rsid w:val="00A63393"/>
    <w:rsid w:val="00A643AB"/>
    <w:rsid w:val="00A6634A"/>
    <w:rsid w:val="00A70B15"/>
    <w:rsid w:val="00A73051"/>
    <w:rsid w:val="00A730F3"/>
    <w:rsid w:val="00A7392F"/>
    <w:rsid w:val="00A73D17"/>
    <w:rsid w:val="00A76523"/>
    <w:rsid w:val="00A76A8A"/>
    <w:rsid w:val="00A76FE6"/>
    <w:rsid w:val="00A8369B"/>
    <w:rsid w:val="00A84A90"/>
    <w:rsid w:val="00A85341"/>
    <w:rsid w:val="00A86D8F"/>
    <w:rsid w:val="00A876BD"/>
    <w:rsid w:val="00A91B77"/>
    <w:rsid w:val="00A92AA8"/>
    <w:rsid w:val="00A92BCB"/>
    <w:rsid w:val="00A94024"/>
    <w:rsid w:val="00A951F2"/>
    <w:rsid w:val="00A9557D"/>
    <w:rsid w:val="00A96222"/>
    <w:rsid w:val="00A967DA"/>
    <w:rsid w:val="00A97D32"/>
    <w:rsid w:val="00AA0BDE"/>
    <w:rsid w:val="00AA1124"/>
    <w:rsid w:val="00AA2D1D"/>
    <w:rsid w:val="00AA4952"/>
    <w:rsid w:val="00AA64BA"/>
    <w:rsid w:val="00AA6611"/>
    <w:rsid w:val="00AA7C76"/>
    <w:rsid w:val="00AB16F0"/>
    <w:rsid w:val="00AB1C9E"/>
    <w:rsid w:val="00AB2546"/>
    <w:rsid w:val="00AB38C8"/>
    <w:rsid w:val="00AB53D3"/>
    <w:rsid w:val="00AB5B24"/>
    <w:rsid w:val="00AB6830"/>
    <w:rsid w:val="00AB68F1"/>
    <w:rsid w:val="00AC4139"/>
    <w:rsid w:val="00AC45F1"/>
    <w:rsid w:val="00AC61F6"/>
    <w:rsid w:val="00AD3E3D"/>
    <w:rsid w:val="00AD7220"/>
    <w:rsid w:val="00AE213D"/>
    <w:rsid w:val="00AE3F95"/>
    <w:rsid w:val="00AE4158"/>
    <w:rsid w:val="00AE4AD8"/>
    <w:rsid w:val="00AE71B9"/>
    <w:rsid w:val="00B01B95"/>
    <w:rsid w:val="00B035A3"/>
    <w:rsid w:val="00B03E5D"/>
    <w:rsid w:val="00B05A50"/>
    <w:rsid w:val="00B060AB"/>
    <w:rsid w:val="00B073D6"/>
    <w:rsid w:val="00B07901"/>
    <w:rsid w:val="00B100D5"/>
    <w:rsid w:val="00B10DB7"/>
    <w:rsid w:val="00B1116F"/>
    <w:rsid w:val="00B1188A"/>
    <w:rsid w:val="00B11F28"/>
    <w:rsid w:val="00B12FD5"/>
    <w:rsid w:val="00B1340C"/>
    <w:rsid w:val="00B1556A"/>
    <w:rsid w:val="00B168AD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343B"/>
    <w:rsid w:val="00B33C3C"/>
    <w:rsid w:val="00B34DD1"/>
    <w:rsid w:val="00B36AE6"/>
    <w:rsid w:val="00B36F78"/>
    <w:rsid w:val="00B37A89"/>
    <w:rsid w:val="00B42B4F"/>
    <w:rsid w:val="00B42CAB"/>
    <w:rsid w:val="00B42E61"/>
    <w:rsid w:val="00B45716"/>
    <w:rsid w:val="00B51168"/>
    <w:rsid w:val="00B51ECC"/>
    <w:rsid w:val="00B531A3"/>
    <w:rsid w:val="00B53A76"/>
    <w:rsid w:val="00B607CB"/>
    <w:rsid w:val="00B61E47"/>
    <w:rsid w:val="00B64C34"/>
    <w:rsid w:val="00B64D42"/>
    <w:rsid w:val="00B668AA"/>
    <w:rsid w:val="00B70D34"/>
    <w:rsid w:val="00B71A40"/>
    <w:rsid w:val="00B71E2C"/>
    <w:rsid w:val="00B7319E"/>
    <w:rsid w:val="00B731CB"/>
    <w:rsid w:val="00B7555E"/>
    <w:rsid w:val="00B80938"/>
    <w:rsid w:val="00B82491"/>
    <w:rsid w:val="00B83B1F"/>
    <w:rsid w:val="00B83E0C"/>
    <w:rsid w:val="00B8587A"/>
    <w:rsid w:val="00B85EF0"/>
    <w:rsid w:val="00B86AF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C4A5D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579D"/>
    <w:rsid w:val="00C16076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6F66"/>
    <w:rsid w:val="00C54009"/>
    <w:rsid w:val="00C6142E"/>
    <w:rsid w:val="00C61A9F"/>
    <w:rsid w:val="00C61DA3"/>
    <w:rsid w:val="00C61DB0"/>
    <w:rsid w:val="00C65E1C"/>
    <w:rsid w:val="00C72AE3"/>
    <w:rsid w:val="00C73303"/>
    <w:rsid w:val="00C772F9"/>
    <w:rsid w:val="00C772FB"/>
    <w:rsid w:val="00C7783D"/>
    <w:rsid w:val="00C819B7"/>
    <w:rsid w:val="00C83028"/>
    <w:rsid w:val="00C83D94"/>
    <w:rsid w:val="00C84B01"/>
    <w:rsid w:val="00C866D8"/>
    <w:rsid w:val="00C87119"/>
    <w:rsid w:val="00C87789"/>
    <w:rsid w:val="00C9291C"/>
    <w:rsid w:val="00C9492C"/>
    <w:rsid w:val="00C95B8F"/>
    <w:rsid w:val="00CA1D06"/>
    <w:rsid w:val="00CA2675"/>
    <w:rsid w:val="00CA4EEB"/>
    <w:rsid w:val="00CA539C"/>
    <w:rsid w:val="00CA7D46"/>
    <w:rsid w:val="00CA7E0D"/>
    <w:rsid w:val="00CB115D"/>
    <w:rsid w:val="00CB1183"/>
    <w:rsid w:val="00CB1453"/>
    <w:rsid w:val="00CB511F"/>
    <w:rsid w:val="00CB6AEC"/>
    <w:rsid w:val="00CB6F4C"/>
    <w:rsid w:val="00CB7B53"/>
    <w:rsid w:val="00CC0CD4"/>
    <w:rsid w:val="00CC0CDE"/>
    <w:rsid w:val="00CC3E1F"/>
    <w:rsid w:val="00CC509F"/>
    <w:rsid w:val="00CC695D"/>
    <w:rsid w:val="00CD25DD"/>
    <w:rsid w:val="00CD39FC"/>
    <w:rsid w:val="00CD5FDD"/>
    <w:rsid w:val="00CD668E"/>
    <w:rsid w:val="00CE03C8"/>
    <w:rsid w:val="00CE2B9D"/>
    <w:rsid w:val="00CE3C2F"/>
    <w:rsid w:val="00CE63C6"/>
    <w:rsid w:val="00CE7568"/>
    <w:rsid w:val="00CE771C"/>
    <w:rsid w:val="00CE7C4F"/>
    <w:rsid w:val="00CF0519"/>
    <w:rsid w:val="00CF077B"/>
    <w:rsid w:val="00CF5226"/>
    <w:rsid w:val="00CF63D2"/>
    <w:rsid w:val="00CF69F8"/>
    <w:rsid w:val="00CF7F12"/>
    <w:rsid w:val="00D052E8"/>
    <w:rsid w:val="00D055C4"/>
    <w:rsid w:val="00D07B5B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1091"/>
    <w:rsid w:val="00D43CD4"/>
    <w:rsid w:val="00D47604"/>
    <w:rsid w:val="00D516DD"/>
    <w:rsid w:val="00D51A83"/>
    <w:rsid w:val="00D51BFE"/>
    <w:rsid w:val="00D53D0D"/>
    <w:rsid w:val="00D57A78"/>
    <w:rsid w:val="00D62082"/>
    <w:rsid w:val="00D63392"/>
    <w:rsid w:val="00D664FE"/>
    <w:rsid w:val="00D66CB1"/>
    <w:rsid w:val="00D7267A"/>
    <w:rsid w:val="00D7275C"/>
    <w:rsid w:val="00D833EA"/>
    <w:rsid w:val="00D83779"/>
    <w:rsid w:val="00D83B2D"/>
    <w:rsid w:val="00D83C9B"/>
    <w:rsid w:val="00D8496D"/>
    <w:rsid w:val="00D85EC0"/>
    <w:rsid w:val="00D87897"/>
    <w:rsid w:val="00D90441"/>
    <w:rsid w:val="00D906EB"/>
    <w:rsid w:val="00D92791"/>
    <w:rsid w:val="00D9553C"/>
    <w:rsid w:val="00D961B6"/>
    <w:rsid w:val="00D969CC"/>
    <w:rsid w:val="00DA0E51"/>
    <w:rsid w:val="00DA2793"/>
    <w:rsid w:val="00DA283C"/>
    <w:rsid w:val="00DA30A5"/>
    <w:rsid w:val="00DA7ACF"/>
    <w:rsid w:val="00DB06E6"/>
    <w:rsid w:val="00DB08B0"/>
    <w:rsid w:val="00DB2D4E"/>
    <w:rsid w:val="00DB6781"/>
    <w:rsid w:val="00DB6B78"/>
    <w:rsid w:val="00DC3C39"/>
    <w:rsid w:val="00DC4445"/>
    <w:rsid w:val="00DC4D6B"/>
    <w:rsid w:val="00DC4D7E"/>
    <w:rsid w:val="00DC786C"/>
    <w:rsid w:val="00DC7A71"/>
    <w:rsid w:val="00DD25DA"/>
    <w:rsid w:val="00DD31A3"/>
    <w:rsid w:val="00DD354F"/>
    <w:rsid w:val="00DD4157"/>
    <w:rsid w:val="00DD4651"/>
    <w:rsid w:val="00DD4B92"/>
    <w:rsid w:val="00DD51CB"/>
    <w:rsid w:val="00DD624F"/>
    <w:rsid w:val="00DE0DC0"/>
    <w:rsid w:val="00DE10C6"/>
    <w:rsid w:val="00DE220B"/>
    <w:rsid w:val="00DE40B4"/>
    <w:rsid w:val="00DE54ED"/>
    <w:rsid w:val="00DE6134"/>
    <w:rsid w:val="00DE77BE"/>
    <w:rsid w:val="00DF11DF"/>
    <w:rsid w:val="00DF1B36"/>
    <w:rsid w:val="00DF425D"/>
    <w:rsid w:val="00DF5680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22331"/>
    <w:rsid w:val="00E23F04"/>
    <w:rsid w:val="00E24D92"/>
    <w:rsid w:val="00E30C36"/>
    <w:rsid w:val="00E317BA"/>
    <w:rsid w:val="00E31896"/>
    <w:rsid w:val="00E328F9"/>
    <w:rsid w:val="00E33139"/>
    <w:rsid w:val="00E35BFF"/>
    <w:rsid w:val="00E362BE"/>
    <w:rsid w:val="00E40073"/>
    <w:rsid w:val="00E406C7"/>
    <w:rsid w:val="00E4082E"/>
    <w:rsid w:val="00E4091E"/>
    <w:rsid w:val="00E40B96"/>
    <w:rsid w:val="00E426F9"/>
    <w:rsid w:val="00E42EAD"/>
    <w:rsid w:val="00E432AC"/>
    <w:rsid w:val="00E43FB4"/>
    <w:rsid w:val="00E44B7F"/>
    <w:rsid w:val="00E45B54"/>
    <w:rsid w:val="00E51645"/>
    <w:rsid w:val="00E52D3A"/>
    <w:rsid w:val="00E54629"/>
    <w:rsid w:val="00E55B34"/>
    <w:rsid w:val="00E61BD7"/>
    <w:rsid w:val="00E621DA"/>
    <w:rsid w:val="00E63E4D"/>
    <w:rsid w:val="00E64C5A"/>
    <w:rsid w:val="00E65541"/>
    <w:rsid w:val="00E67336"/>
    <w:rsid w:val="00E678A9"/>
    <w:rsid w:val="00E70932"/>
    <w:rsid w:val="00E70BD5"/>
    <w:rsid w:val="00E719C6"/>
    <w:rsid w:val="00E729D6"/>
    <w:rsid w:val="00E73048"/>
    <w:rsid w:val="00E73363"/>
    <w:rsid w:val="00E75C95"/>
    <w:rsid w:val="00E84168"/>
    <w:rsid w:val="00E85384"/>
    <w:rsid w:val="00E86794"/>
    <w:rsid w:val="00E86FB3"/>
    <w:rsid w:val="00E87F3A"/>
    <w:rsid w:val="00E938DF"/>
    <w:rsid w:val="00E939FC"/>
    <w:rsid w:val="00E9480E"/>
    <w:rsid w:val="00E95113"/>
    <w:rsid w:val="00E96CBF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16BD"/>
    <w:rsid w:val="00EB20DD"/>
    <w:rsid w:val="00EB2AD7"/>
    <w:rsid w:val="00EB5C45"/>
    <w:rsid w:val="00EB5D91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3F0"/>
    <w:rsid w:val="00EE0109"/>
    <w:rsid w:val="00EE02D9"/>
    <w:rsid w:val="00EE2F0D"/>
    <w:rsid w:val="00EE3104"/>
    <w:rsid w:val="00EE4FDD"/>
    <w:rsid w:val="00EE53BE"/>
    <w:rsid w:val="00EE5D5A"/>
    <w:rsid w:val="00EE6945"/>
    <w:rsid w:val="00EE6B12"/>
    <w:rsid w:val="00EE7A4E"/>
    <w:rsid w:val="00EF015D"/>
    <w:rsid w:val="00EF0CC6"/>
    <w:rsid w:val="00EF1102"/>
    <w:rsid w:val="00EF38E9"/>
    <w:rsid w:val="00EF63A8"/>
    <w:rsid w:val="00EF6457"/>
    <w:rsid w:val="00F00FE5"/>
    <w:rsid w:val="00F016FE"/>
    <w:rsid w:val="00F02A1D"/>
    <w:rsid w:val="00F06C9C"/>
    <w:rsid w:val="00F07522"/>
    <w:rsid w:val="00F07C13"/>
    <w:rsid w:val="00F105B3"/>
    <w:rsid w:val="00F1227E"/>
    <w:rsid w:val="00F16AE7"/>
    <w:rsid w:val="00F171A2"/>
    <w:rsid w:val="00F17F4B"/>
    <w:rsid w:val="00F21725"/>
    <w:rsid w:val="00F251F2"/>
    <w:rsid w:val="00F26357"/>
    <w:rsid w:val="00F37FCF"/>
    <w:rsid w:val="00F41645"/>
    <w:rsid w:val="00F41881"/>
    <w:rsid w:val="00F4237F"/>
    <w:rsid w:val="00F45B70"/>
    <w:rsid w:val="00F465CC"/>
    <w:rsid w:val="00F53FE6"/>
    <w:rsid w:val="00F54A56"/>
    <w:rsid w:val="00F57035"/>
    <w:rsid w:val="00F57A81"/>
    <w:rsid w:val="00F60567"/>
    <w:rsid w:val="00F61D74"/>
    <w:rsid w:val="00F6209B"/>
    <w:rsid w:val="00F6498F"/>
    <w:rsid w:val="00F6610A"/>
    <w:rsid w:val="00F6651D"/>
    <w:rsid w:val="00F70125"/>
    <w:rsid w:val="00F70CBB"/>
    <w:rsid w:val="00F734BF"/>
    <w:rsid w:val="00F81B0B"/>
    <w:rsid w:val="00F81EDE"/>
    <w:rsid w:val="00F82ABD"/>
    <w:rsid w:val="00F83D25"/>
    <w:rsid w:val="00F85ED5"/>
    <w:rsid w:val="00F9354A"/>
    <w:rsid w:val="00F9763C"/>
    <w:rsid w:val="00FA118C"/>
    <w:rsid w:val="00FA3E89"/>
    <w:rsid w:val="00FA6713"/>
    <w:rsid w:val="00FB3DF5"/>
    <w:rsid w:val="00FB5F52"/>
    <w:rsid w:val="00FB6785"/>
    <w:rsid w:val="00FB69D0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1C43"/>
    <w:rsid w:val="00FE29D6"/>
    <w:rsid w:val="00FE41E8"/>
    <w:rsid w:val="00FE54D8"/>
    <w:rsid w:val="00FE559B"/>
    <w:rsid w:val="00FE6FD1"/>
    <w:rsid w:val="00FF00B8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  <w15:chartTrackingRefBased/>
  <w15:docId w15:val="{3805B1EA-4DA3-4D27-92C4-D81CCF80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C24A-A109-418C-9987-30D1326E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1588</Words>
  <Characters>8581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Marcus Cesar Martins da Cruz</cp:lastModifiedBy>
  <cp:revision>2</cp:revision>
  <cp:lastPrinted>2019-10-15T11:08:00Z</cp:lastPrinted>
  <dcterms:created xsi:type="dcterms:W3CDTF">2019-12-19T11:20:00Z</dcterms:created>
  <dcterms:modified xsi:type="dcterms:W3CDTF">2019-12-19T11:20:00Z</dcterms:modified>
</cp:coreProperties>
</file>