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C5430" w14:paraId="6F273622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07025D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19D6B38" w14:textId="6BFA8861" w:rsidR="00113CE6" w:rsidRPr="0007025D" w:rsidRDefault="00BC5430" w:rsidP="00A806A3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Lei Federal 12.378/2010; Resolução 28/2012 do CAU/BR; </w:t>
            </w: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  <w:r>
              <w:rPr>
                <w:rFonts w:asciiTheme="majorHAnsi" w:hAnsiTheme="majorHAnsi" w:cs="Times New Roman"/>
                <w:szCs w:val="20"/>
              </w:rPr>
              <w:t>; Deliberação 015/2019 da CEP-CAU/BR</w:t>
            </w:r>
          </w:p>
        </w:tc>
      </w:tr>
      <w:tr w:rsidR="00113CE6" w:rsidRPr="00BC5430" w14:paraId="1CC1B8EA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549AAE" w14:textId="77777777" w:rsidR="00113CE6" w:rsidRPr="0007025D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EBEE772" w14:textId="3470DBB4" w:rsidR="00113CE6" w:rsidRPr="0007025D" w:rsidRDefault="00BC5430" w:rsidP="0007025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>
              <w:rPr>
                <w:rFonts w:asciiTheme="majorHAnsi" w:hAnsiTheme="majorHAnsi" w:cs="Times New Roman"/>
                <w:szCs w:val="20"/>
              </w:rPr>
              <w:t xml:space="preserve">Exercício Profissional; Gerência Técnica e de Fiscalização; </w:t>
            </w:r>
            <w:r w:rsidRPr="00744C68">
              <w:rPr>
                <w:rFonts w:asciiTheme="majorHAnsi" w:hAnsiTheme="majorHAnsi" w:cs="Times New Roman"/>
                <w:szCs w:val="20"/>
              </w:rPr>
              <w:t xml:space="preserve">Setor de Registro e Atualização Cadastral </w:t>
            </w:r>
            <w:r>
              <w:rPr>
                <w:rFonts w:asciiTheme="majorHAnsi" w:hAnsiTheme="majorHAnsi" w:cs="Times New Roman"/>
                <w:szCs w:val="20"/>
              </w:rPr>
              <w:t xml:space="preserve">de </w:t>
            </w:r>
            <w:r w:rsidRPr="00744C68">
              <w:rPr>
                <w:rFonts w:asciiTheme="majorHAnsi" w:hAnsiTheme="majorHAnsi" w:cs="Times New Roman"/>
                <w:szCs w:val="20"/>
              </w:rPr>
              <w:t>Empresas</w:t>
            </w:r>
          </w:p>
        </w:tc>
      </w:tr>
      <w:tr w:rsidR="00113CE6" w:rsidRPr="00BC5430" w14:paraId="0C64DCA4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07025D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7343D590" w14:textId="64756E83" w:rsidR="00113CE6" w:rsidRPr="0007025D" w:rsidRDefault="00BC5430" w:rsidP="0007025D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FIXAÇÃO DE PROCEDIMENTOS PARA BAIXA DE OFÍCIO DE PESSOA JURÍDICA SEM RESPONSÁVEL TÉCNICO</w:t>
            </w:r>
          </w:p>
        </w:tc>
      </w:tr>
      <w:tr w:rsidR="00113CE6" w:rsidRPr="00BC5430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C5430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26E90AA0" w:rsidR="00113CE6" w:rsidRPr="0007025D" w:rsidRDefault="00BC5430" w:rsidP="00BC543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BD55C0">
              <w:rPr>
                <w:rFonts w:asciiTheme="majorHAnsi" w:hAnsiTheme="majorHAnsi" w:cs="Times New Roman"/>
                <w:b/>
                <w:sz w:val="24"/>
              </w:rPr>
              <w:t xml:space="preserve">DELIBERAÇÃO Nº 150.3.3/2019 </w:t>
            </w:r>
            <w:r w:rsidRPr="00BD55C0">
              <w:rPr>
                <w:rFonts w:cs="Times New Roman"/>
                <w:b/>
                <w:sz w:val="24"/>
              </w:rPr>
              <w:t xml:space="preserve">– </w:t>
            </w:r>
            <w:r w:rsidRPr="00BD55C0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6E02F281" w14:textId="77777777" w:rsidR="00BC5430" w:rsidRDefault="00BC5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350A17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>
        <w:rPr>
          <w:rFonts w:asciiTheme="majorHAnsi" w:hAnsiTheme="majorHAnsi" w:cs="Times New Roman"/>
          <w:lang w:val="pt-BR"/>
        </w:rPr>
        <w:t xml:space="preserve">18 de junho de </w:t>
      </w:r>
      <w:r w:rsidRPr="00F53CF6">
        <w:rPr>
          <w:rFonts w:asciiTheme="majorHAnsi" w:hAnsiTheme="majorHAnsi" w:cs="Times New Roman"/>
          <w:lang w:val="pt-BR"/>
        </w:rPr>
        <w:t>2019, no uso das competências que lhe conferem o Regimento Interno do CAU/MG, em especial:</w:t>
      </w:r>
    </w:p>
    <w:p w14:paraId="04D0FF35" w14:textId="77777777" w:rsidR="00BC5430" w:rsidRPr="00A520BE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0DB487A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 Lei Federal 12.378, de 31 de dezembro de 2010, especialmente:</w:t>
      </w:r>
    </w:p>
    <w:p w14:paraId="57786150" w14:textId="77777777" w:rsidR="00BC5430" w:rsidRPr="00A520BE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03A109B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E9BDC49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9º</w:t>
      </w:r>
      <w:r>
        <w:rPr>
          <w:rFonts w:asciiTheme="majorHAnsi" w:hAnsiTheme="majorHAnsi" w:cs="Times New Roman"/>
          <w:i/>
          <w:lang w:val="pt-BR"/>
        </w:rPr>
        <w:t xml:space="preserve">. </w:t>
      </w:r>
      <w:r w:rsidRPr="00A520BE">
        <w:rPr>
          <w:rFonts w:asciiTheme="majorHAnsi" w:hAnsiTheme="majorHAnsi" w:cs="Times New Roman"/>
          <w:i/>
          <w:lang w:val="pt-BR"/>
        </w:rPr>
        <w:t xml:space="preserve"> É facultada ao profissional e à pessoa jurídica, que não estiver no exercício de suas atividades, a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interrupção de seu registro profissional no CAU por tempo indeterminado, desde que atenda as condições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regulamentadas pelo CAU/BR.</w:t>
      </w:r>
    </w:p>
    <w:p w14:paraId="0C5E850F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1234E31" w14:textId="77777777" w:rsidR="00BC5430" w:rsidRPr="00A520BE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52. O atraso no pagamento de anuidade sujeita o responsável à suspensão do exercício profissional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ou, no caso de pessoa jurídica, à proibição de prestar trabalhos na área da arquitetura e do urbanismo, mas não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haverá cobrança judicial dos valores em atraso, protesto de dívida ou comunicação aos órgãos de proteção ao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crédito.</w:t>
      </w:r>
    </w:p>
    <w:p w14:paraId="627B7B0D" w14:textId="77777777" w:rsidR="00BC5430" w:rsidRPr="00A520BE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53. A existência de dívidas pendentes não obsta o desligamento do CAU.</w:t>
      </w:r>
    </w:p>
    <w:p w14:paraId="362C85FA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51CA302" w14:textId="77777777" w:rsidR="00BC5430" w:rsidRPr="00F53CF6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16A65FBE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7B3B19A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13B10F8E" w14:textId="77777777" w:rsidR="00BC5430" w:rsidRPr="00F53CF6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AAE6D51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E5913">
        <w:rPr>
          <w:rFonts w:asciiTheme="majorHAnsi" w:hAnsiTheme="majorHAnsi" w:cs="Times New Roman"/>
          <w:i/>
          <w:lang w:val="pt-BR"/>
        </w:rPr>
        <w:t>VIII - propor, apreciar e deliberar sobre questionamentos a atos já normati</w:t>
      </w:r>
      <w:r>
        <w:rPr>
          <w:rFonts w:asciiTheme="majorHAnsi" w:hAnsiTheme="majorHAnsi" w:cs="Times New Roman"/>
          <w:i/>
          <w:lang w:val="pt-BR"/>
        </w:rPr>
        <w:t>zados pelo CAU/BR referentes a:</w:t>
      </w:r>
    </w:p>
    <w:p w14:paraId="60A46EC7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F3AA488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744C68">
        <w:rPr>
          <w:rFonts w:asciiTheme="majorHAnsi" w:hAnsiTheme="majorHAnsi" w:cs="Times New Roman"/>
          <w:i/>
          <w:lang w:val="pt-BR"/>
        </w:rPr>
        <w:t>c) requerimentos de registro de pessoas jurídicas;</w:t>
      </w:r>
      <w:r w:rsidRPr="00EE5913">
        <w:rPr>
          <w:rFonts w:asciiTheme="majorHAnsi" w:hAnsiTheme="majorHAnsi" w:cs="Times New Roman"/>
          <w:i/>
          <w:lang w:val="pt-BR"/>
        </w:rPr>
        <w:t>;</w:t>
      </w:r>
    </w:p>
    <w:p w14:paraId="27C6BFE3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EBC3013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Resolução 28/2012 do CAU/BR, que “d</w:t>
      </w:r>
      <w:r w:rsidRPr="00EE5913">
        <w:rPr>
          <w:rFonts w:asciiTheme="majorHAnsi" w:hAnsiTheme="majorHAnsi" w:cs="Times New Roman"/>
          <w:lang w:val="pt-BR"/>
        </w:rPr>
        <w:t xml:space="preserve">ispõe </w:t>
      </w:r>
      <w:r w:rsidRPr="00744C68">
        <w:rPr>
          <w:rFonts w:asciiTheme="majorHAnsi" w:hAnsiTheme="majorHAnsi" w:cs="Times New Roman"/>
          <w:lang w:val="pt-BR"/>
        </w:rPr>
        <w:t>sobre o registro e sobre a alteração e a baixa de registro de pessoa jurídica de Arquitetura e Urbanismo nos Conselhos de Arquitetura e Urbanismo dos Estados e do Distrito Federal e dá outras providências</w:t>
      </w:r>
      <w:r>
        <w:rPr>
          <w:rFonts w:asciiTheme="majorHAnsi" w:hAnsiTheme="majorHAnsi" w:cs="Times New Roman"/>
          <w:lang w:val="pt-BR"/>
        </w:rPr>
        <w:t>”, e suas alterações;</w:t>
      </w:r>
    </w:p>
    <w:p w14:paraId="648CFCC0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FC94644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Resolução 121/2016 do CAU/BR, que “d</w:t>
      </w:r>
      <w:r w:rsidRPr="00EE5913">
        <w:rPr>
          <w:rFonts w:asciiTheme="majorHAnsi" w:hAnsiTheme="majorHAnsi" w:cs="Times New Roman"/>
          <w:lang w:val="pt-BR"/>
        </w:rPr>
        <w:t>ispõe sobre as anuidades e sobre a negociação de valores devidos aos Conselhos de Arquitetura e Urbanismo dos Estados e do Distrito Federal (CAU/UF) e dá outras providências</w:t>
      </w:r>
      <w:r>
        <w:rPr>
          <w:rFonts w:asciiTheme="majorHAnsi" w:hAnsiTheme="majorHAnsi" w:cs="Times New Roman"/>
          <w:lang w:val="pt-BR"/>
        </w:rPr>
        <w:t>” e suas alterações;</w:t>
      </w:r>
    </w:p>
    <w:p w14:paraId="3799637D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E8D734B" w14:textId="66BD95BB" w:rsidR="008A30C2" w:rsidRPr="006341D4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highlight w:val="yellow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Deliberação 015/2019 da CEP-CAU/BR que tratam de assuntos relacionados à atualização dos dados cadastrais das pessoas jurídicas registradas no CAU.</w:t>
      </w:r>
    </w:p>
    <w:p w14:paraId="738CE61A" w14:textId="77777777" w:rsidR="00057366" w:rsidRPr="006341D4" w:rsidRDefault="0005736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272CC32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9105E47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FD818B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F5F815C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F6455D3" w14:textId="77777777"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17532C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14:paraId="0A7265A7" w14:textId="77777777" w:rsidR="00BC5430" w:rsidRPr="0017532C" w:rsidRDefault="00BC5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FF9A112" w14:textId="77777777" w:rsidR="00BC5430" w:rsidRPr="00BC5430" w:rsidRDefault="00BC5430" w:rsidP="00BC5430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5430">
        <w:rPr>
          <w:rFonts w:asciiTheme="majorHAnsi" w:hAnsiTheme="majorHAnsi" w:cs="Times New Roman"/>
          <w:lang w:val="pt-BR"/>
        </w:rPr>
        <w:t>Aprovar, neste ato, o procedimento para baixa de ofício de pessoas jurídicas que deixarem de preencher as condições para manutenção de registro prevista no item III, do artigo 26 da Resolução 28/2012 do CAU/BR.</w:t>
      </w:r>
    </w:p>
    <w:p w14:paraId="56A52E04" w14:textId="77777777" w:rsidR="00BC5430" w:rsidRPr="00BC5430" w:rsidRDefault="00BC5430" w:rsidP="00BC5430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5430">
        <w:rPr>
          <w:rFonts w:asciiTheme="majorHAnsi" w:hAnsiTheme="majorHAnsi" w:cs="Times New Roman"/>
          <w:lang w:val="pt-BR"/>
        </w:rPr>
        <w:t>Determinar que as imputações delegadas por este instrumento à Gerência Técnica e de Fiscalização sejam automaticamente repassadas às instâncias às quais sejam atribuídas suas funções, no caso destes serem substituídos ou extintos;</w:t>
      </w:r>
    </w:p>
    <w:p w14:paraId="19E340AC" w14:textId="77777777" w:rsidR="00BC5430" w:rsidRPr="000E5F82" w:rsidRDefault="00BC5430" w:rsidP="00BC5430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46FA0FB0" w14:textId="77777777" w:rsidR="0017532C" w:rsidRPr="0017532C" w:rsidRDefault="0017532C" w:rsidP="0017532C">
      <w:pPr>
        <w:widowControl/>
        <w:spacing w:line="276" w:lineRule="auto"/>
        <w:rPr>
          <w:rFonts w:asciiTheme="majorHAnsi" w:hAnsiTheme="majorHAnsi" w:cs="Times New Roman"/>
          <w:sz w:val="10"/>
          <w:szCs w:val="10"/>
          <w:lang w:val="pt-BR"/>
        </w:rPr>
      </w:pPr>
    </w:p>
    <w:p w14:paraId="0238B95E" w14:textId="77777777" w:rsidR="005F0DBA" w:rsidRPr="0017532C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17532C">
        <w:rPr>
          <w:rFonts w:asciiTheme="majorHAnsi" w:hAnsiTheme="majorHAnsi" w:cs="Times New Roman"/>
          <w:lang w:val="pt-BR"/>
        </w:rPr>
        <w:t xml:space="preserve">Belo Horizonte, </w:t>
      </w:r>
      <w:r w:rsidR="00AD06C5" w:rsidRPr="0017532C">
        <w:rPr>
          <w:rFonts w:asciiTheme="majorHAnsi" w:hAnsiTheme="majorHAnsi" w:cs="Times New Roman"/>
          <w:lang w:val="pt-BR"/>
        </w:rPr>
        <w:t>1</w:t>
      </w:r>
      <w:r w:rsidR="0017532C" w:rsidRPr="0017532C">
        <w:rPr>
          <w:rFonts w:asciiTheme="majorHAnsi" w:hAnsiTheme="majorHAnsi" w:cs="Times New Roman"/>
          <w:lang w:val="pt-BR"/>
        </w:rPr>
        <w:t>6</w:t>
      </w:r>
      <w:r w:rsidRPr="0017532C">
        <w:rPr>
          <w:rFonts w:asciiTheme="majorHAnsi" w:hAnsiTheme="majorHAnsi" w:cs="Times New Roman"/>
          <w:lang w:val="pt-BR"/>
        </w:rPr>
        <w:t xml:space="preserve"> de </w:t>
      </w:r>
      <w:r w:rsidR="00AD06C5" w:rsidRPr="0017532C">
        <w:rPr>
          <w:rFonts w:asciiTheme="majorHAnsi" w:hAnsiTheme="majorHAnsi" w:cs="Times New Roman"/>
          <w:lang w:val="pt-BR"/>
        </w:rPr>
        <w:t>ju</w:t>
      </w:r>
      <w:r w:rsidR="0017532C" w:rsidRPr="0017532C">
        <w:rPr>
          <w:rFonts w:asciiTheme="majorHAnsi" w:hAnsiTheme="majorHAnsi" w:cs="Times New Roman"/>
          <w:lang w:val="pt-BR"/>
        </w:rPr>
        <w:t>l</w:t>
      </w:r>
      <w:r w:rsidR="00AD06C5" w:rsidRPr="0017532C">
        <w:rPr>
          <w:rFonts w:asciiTheme="majorHAnsi" w:hAnsiTheme="majorHAnsi" w:cs="Times New Roman"/>
          <w:lang w:val="pt-BR"/>
        </w:rPr>
        <w:t>ho</w:t>
      </w:r>
      <w:r w:rsidRPr="0017532C">
        <w:rPr>
          <w:rFonts w:asciiTheme="majorHAnsi" w:hAnsiTheme="majorHAnsi" w:cs="Times New Roman"/>
          <w:lang w:val="pt-BR"/>
        </w:rPr>
        <w:t xml:space="preserve"> de 2019.</w:t>
      </w:r>
    </w:p>
    <w:p w14:paraId="552C0A3D" w14:textId="77777777" w:rsidR="00DA0B07" w:rsidRPr="0017532C" w:rsidRDefault="00DA0B07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BC5430" w14:paraId="0E5DCC8F" w14:textId="77777777" w:rsidTr="00BD370D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14:paraId="15919DC2" w14:textId="77777777" w:rsidR="00F535C9" w:rsidRPr="0017532C" w:rsidRDefault="00F535C9" w:rsidP="002964F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521E0B" w:rsidRPr="0017532C" w14:paraId="5D4E84AB" w14:textId="77777777" w:rsidTr="00BD370D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3F7D3C74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84F1F3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142DFE2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38417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F3F5FE5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BC5430" w14:paraId="3B4C0E82" w14:textId="77777777" w:rsidTr="00BD370D">
        <w:trPr>
          <w:trHeight w:val="539"/>
          <w:jc w:val="center"/>
        </w:trPr>
        <w:tc>
          <w:tcPr>
            <w:tcW w:w="4012" w:type="dxa"/>
            <w:vAlign w:val="center"/>
          </w:tcPr>
          <w:p w14:paraId="284481F8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 w:rsidRPr="0017532C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. Galvani</w:t>
            </w:r>
            <w:r w:rsidRPr="0017532C">
              <w:rPr>
                <w:rFonts w:asciiTheme="majorHAnsi" w:hAnsiTheme="majorHAnsi" w:cs="Times New Roman"/>
                <w:sz w:val="18"/>
                <w:szCs w:val="18"/>
              </w:rPr>
              <w:t xml:space="preserve"> –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14:paraId="673AC582" w14:textId="77777777" w:rsidR="00521E0B" w:rsidRPr="0017532C" w:rsidRDefault="00436E1D" w:rsidP="002964F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Ana Cecília de Sousa Ramos Barros (S)</w:t>
            </w:r>
          </w:p>
        </w:tc>
        <w:tc>
          <w:tcPr>
            <w:tcW w:w="1086" w:type="dxa"/>
            <w:vAlign w:val="center"/>
          </w:tcPr>
          <w:p w14:paraId="54B7F1D4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FC5378B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BF0AE0E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14:paraId="1B5231C5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C5430" w14:paraId="28036490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FD5770D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17532C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14:paraId="6B452827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572258E0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5BB87B31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F5ADD44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6BE76B11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C5430" w14:paraId="3B48735C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2535A5AE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1621D4FD" w14:textId="77777777" w:rsidR="00F0304C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17532C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AF49A0B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04C67151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BF5D152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306C06AA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C5430" w14:paraId="2EBEAE92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57E74D3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3F54ABC7" w14:textId="77777777" w:rsidR="00F0304C" w:rsidRPr="0017532C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E4EC510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EEAD380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1C0A36D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464A62D7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C5430" w14:paraId="04C89A92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43BD00F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Maria Edwirges Sobreira Leal</w:t>
            </w:r>
          </w:p>
          <w:p w14:paraId="65A9B20E" w14:textId="77777777"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Patricia Elizabeth Ferreira Gomes Barbosa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3A209E6D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06A7F30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609E01C4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28B6B849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EDE828C" w14:textId="77777777" w:rsidR="000871A5" w:rsidRPr="00AD06C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14:paraId="5942EE7A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7C3B24E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99C616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F52A5FB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0B67309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680CF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CC73540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152D54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1CE083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81F3CD7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16DE9C9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0AE8A27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F6D49C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247215D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DD7CB93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AA98844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4DD6594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C8EC68A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C638BEE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1FBDD3C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6633458" w14:textId="77777777" w:rsidR="0017532C" w:rsidRDefault="0017532C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3B6A2053" w14:textId="77777777" w:rsidR="00BC5430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</w:t>
      </w:r>
    </w:p>
    <w:p w14:paraId="7166D1F0" w14:textId="77777777" w:rsidR="00BC5430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090D076" w14:textId="77777777" w:rsidR="00BC5430" w:rsidRPr="000E5F82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057366">
        <w:rPr>
          <w:rFonts w:asciiTheme="majorHAnsi" w:hAnsiTheme="majorHAnsi" w:cs="Times New Roman"/>
          <w:b/>
          <w:lang w:val="pt-BR"/>
        </w:rPr>
        <w:t xml:space="preserve">PROCEDIMENTOS PARA </w:t>
      </w:r>
      <w:r w:rsidRPr="000E5F82">
        <w:rPr>
          <w:rFonts w:asciiTheme="majorHAnsi" w:hAnsiTheme="majorHAnsi" w:cs="Times New Roman"/>
          <w:b/>
          <w:szCs w:val="20"/>
          <w:lang w:val="pt-BR"/>
        </w:rPr>
        <w:t>BAIXA DE OFÍCIO DE PESSOA JURÍDICA SEM RESPONSÁVEL TÉCNICO</w:t>
      </w:r>
    </w:p>
    <w:p w14:paraId="1E9A047A" w14:textId="77777777" w:rsidR="00BC5430" w:rsidRPr="00057366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5AA8C59" w14:textId="77777777" w:rsidR="00BC5430" w:rsidRPr="00057366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 – DA IDENTIFICAÇÃO DA AUSÊNCIA DE ARQUITETO E URBANISTA COMO RESPONSÁVEL TÉCNICO PELA PESSOA JURÍDICA</w:t>
      </w:r>
    </w:p>
    <w:p w14:paraId="4AD6E582" w14:textId="77777777" w:rsidR="00BC5430" w:rsidRPr="00057366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12F8864" w14:textId="00AD3C31" w:rsidR="00BC5430" w:rsidRPr="00EE7763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1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 xml:space="preserve">Cadastral de Empresas </w:t>
      </w:r>
      <w:r w:rsidRPr="00EE7763">
        <w:rPr>
          <w:rFonts w:asciiTheme="majorHAnsi" w:hAnsiTheme="majorHAnsi" w:cs="Times New Roman"/>
          <w:szCs w:val="20"/>
          <w:lang w:val="pt-BR"/>
        </w:rPr>
        <w:t>utilizará</w:t>
      </w:r>
      <w:r>
        <w:rPr>
          <w:rFonts w:asciiTheme="majorHAnsi" w:hAnsiTheme="majorHAnsi" w:cs="Times New Roman"/>
          <w:szCs w:val="20"/>
          <w:lang w:val="pt-BR"/>
        </w:rPr>
        <w:t xml:space="preserve"> do Sistema de Informação e Comunicação do CAU – SICCAU para levantar, semestralmente, as pessoas jurídicas que se encontram sem responsável técnico.</w:t>
      </w:r>
    </w:p>
    <w:p w14:paraId="079027D8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0552FD5" w14:textId="788479DD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2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Constatada que a pessoa jurídica está sem arquiteto e urbanista responsável técnico, caberá ao responsável pelo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 xml:space="preserve">Cadastral de Empresas </w:t>
      </w:r>
      <w:r>
        <w:rPr>
          <w:rFonts w:asciiTheme="majorHAnsi" w:hAnsiTheme="majorHAnsi" w:cs="Times New Roman"/>
          <w:lang w:val="pt-BR"/>
        </w:rPr>
        <w:t>notificar</w:t>
      </w:r>
      <w:r>
        <w:rPr>
          <w:rFonts w:asciiTheme="majorHAnsi" w:hAnsiTheme="majorHAnsi" w:cs="Times New Roman"/>
          <w:lang w:val="pt-BR"/>
        </w:rPr>
        <w:t xml:space="preserve">, por meio da aba PENDENTES DE RESPONSÁVEL TÉCNICO no SICCAU, a pessoa jurídica para que, no prazo estabelecido, adota </w:t>
      </w:r>
      <w:r w:rsidRPr="00EE7763">
        <w:rPr>
          <w:rFonts w:asciiTheme="majorHAnsi" w:hAnsiTheme="majorHAnsi" w:cs="Times New Roman"/>
          <w:lang w:val="pt-BR"/>
        </w:rPr>
        <w:t>as providências necessárias para regularizar a situação</w:t>
      </w:r>
      <w:r>
        <w:rPr>
          <w:rFonts w:asciiTheme="majorHAnsi" w:hAnsiTheme="majorHAnsi" w:cs="Times New Roman"/>
          <w:lang w:val="pt-BR"/>
        </w:rPr>
        <w:t>.</w:t>
      </w:r>
    </w:p>
    <w:p w14:paraId="1F18D838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172BAE05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E7763">
        <w:rPr>
          <w:rFonts w:asciiTheme="majorHAnsi" w:hAnsiTheme="majorHAnsi" w:cs="Times New Roman"/>
          <w:lang w:val="pt-BR"/>
        </w:rPr>
        <w:t xml:space="preserve">Parágrafo único. </w:t>
      </w:r>
      <w:r>
        <w:rPr>
          <w:rFonts w:asciiTheme="majorHAnsi" w:hAnsiTheme="majorHAnsi" w:cs="Times New Roman"/>
          <w:lang w:val="pt-BR"/>
        </w:rPr>
        <w:t>A diligência constitui</w:t>
      </w:r>
      <w:r w:rsidRPr="00EE7763">
        <w:rPr>
          <w:rFonts w:asciiTheme="majorHAnsi" w:hAnsiTheme="majorHAnsi" w:cs="Times New Roman"/>
          <w:lang w:val="pt-BR"/>
        </w:rPr>
        <w:t xml:space="preserve"> o ato administrativo in</w:t>
      </w:r>
      <w:r>
        <w:rPr>
          <w:rFonts w:asciiTheme="majorHAnsi" w:hAnsiTheme="majorHAnsi" w:cs="Times New Roman"/>
          <w:lang w:val="pt-BR"/>
        </w:rPr>
        <w:t>icial que relata a ocorrência da irregularidade e</w:t>
      </w:r>
      <w:r w:rsidRPr="00EE7763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que </w:t>
      </w:r>
      <w:r w:rsidRPr="00EE7763">
        <w:rPr>
          <w:rFonts w:asciiTheme="majorHAnsi" w:hAnsiTheme="majorHAnsi" w:cs="Times New Roman"/>
          <w:lang w:val="pt-BR"/>
        </w:rPr>
        <w:t xml:space="preserve">fixará o prazo de </w:t>
      </w:r>
      <w:r>
        <w:rPr>
          <w:rFonts w:asciiTheme="majorHAnsi" w:hAnsiTheme="majorHAnsi" w:cs="Times New Roman"/>
          <w:lang w:val="pt-BR"/>
        </w:rPr>
        <w:t>30</w:t>
      </w:r>
      <w:r w:rsidRPr="00EE7763">
        <w:rPr>
          <w:rFonts w:asciiTheme="majorHAnsi" w:hAnsiTheme="majorHAnsi" w:cs="Times New Roman"/>
          <w:lang w:val="pt-BR"/>
        </w:rPr>
        <w:t xml:space="preserve"> (</w:t>
      </w:r>
      <w:r>
        <w:rPr>
          <w:rFonts w:asciiTheme="majorHAnsi" w:hAnsiTheme="majorHAnsi" w:cs="Times New Roman"/>
          <w:lang w:val="pt-BR"/>
        </w:rPr>
        <w:t>trinta</w:t>
      </w:r>
      <w:r w:rsidRPr="00EE7763">
        <w:rPr>
          <w:rFonts w:asciiTheme="majorHAnsi" w:hAnsiTheme="majorHAnsi" w:cs="Times New Roman"/>
          <w:lang w:val="pt-BR"/>
        </w:rPr>
        <w:t>) dias para a regularização, contados do primeiro dia útil subsequente ao seu recebimento.</w:t>
      </w:r>
    </w:p>
    <w:p w14:paraId="01BFA8D9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30BD34B2" w14:textId="56DD4A44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3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A diligência cadastrada pelo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>Cadastral de Empresas deverá</w:t>
      </w:r>
      <w:r>
        <w:rPr>
          <w:rFonts w:asciiTheme="majorHAnsi" w:hAnsiTheme="majorHAnsi" w:cs="Times New Roman"/>
          <w:szCs w:val="20"/>
          <w:lang w:val="pt-BR"/>
        </w:rPr>
        <w:t xml:space="preserve"> conter, no mínimo, as seguintes informações:</w:t>
      </w:r>
    </w:p>
    <w:p w14:paraId="659B5C6B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43557DB" w14:textId="77777777" w:rsidR="00BC5430" w:rsidRPr="00E00C0A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00C0A">
        <w:rPr>
          <w:rFonts w:asciiTheme="majorHAnsi" w:hAnsiTheme="majorHAnsi" w:cs="Times New Roman"/>
          <w:lang w:val="pt-BR"/>
        </w:rPr>
        <w:t xml:space="preserve">I – </w:t>
      </w:r>
      <w:proofErr w:type="gramStart"/>
      <w:r w:rsidRPr="00E00C0A">
        <w:rPr>
          <w:rFonts w:asciiTheme="majorHAnsi" w:hAnsiTheme="majorHAnsi" w:cs="Times New Roman"/>
          <w:lang w:val="pt-BR"/>
        </w:rPr>
        <w:t>descrição</w:t>
      </w:r>
      <w:proofErr w:type="gramEnd"/>
      <w:r w:rsidRPr="00E00C0A">
        <w:rPr>
          <w:rFonts w:asciiTheme="majorHAnsi" w:hAnsiTheme="majorHAnsi" w:cs="Times New Roman"/>
          <w:lang w:val="pt-BR"/>
        </w:rPr>
        <w:t xml:space="preserve"> detalhada da irregularidade constatada;</w:t>
      </w:r>
    </w:p>
    <w:p w14:paraId="5D781E03" w14:textId="77777777" w:rsidR="00BC5430" w:rsidRPr="00E00C0A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4242E6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00C0A">
        <w:rPr>
          <w:rFonts w:asciiTheme="majorHAnsi" w:hAnsiTheme="majorHAnsi" w:cs="Times New Roman"/>
          <w:lang w:val="pt-BR"/>
        </w:rPr>
        <w:t xml:space="preserve">II – </w:t>
      </w:r>
      <w:proofErr w:type="gramStart"/>
      <w:r w:rsidRPr="00E00C0A">
        <w:rPr>
          <w:rFonts w:asciiTheme="majorHAnsi" w:hAnsiTheme="majorHAnsi" w:cs="Times New Roman"/>
          <w:lang w:val="pt-BR"/>
        </w:rPr>
        <w:t>indicação</w:t>
      </w:r>
      <w:proofErr w:type="gramEnd"/>
      <w:r w:rsidRPr="00E00C0A">
        <w:rPr>
          <w:rFonts w:asciiTheme="majorHAnsi" w:hAnsiTheme="majorHAnsi" w:cs="Times New Roman"/>
          <w:lang w:val="pt-BR"/>
        </w:rPr>
        <w:t xml:space="preserve"> das providências a serem adotadas pela pessoa jurídica para, no prazo estabelecido, regularizar a situação.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5B162DE4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7CEB6E4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E7763">
        <w:rPr>
          <w:rFonts w:asciiTheme="majorHAnsi" w:hAnsiTheme="majorHAnsi" w:cs="Times New Roman"/>
          <w:lang w:val="pt-BR"/>
        </w:rPr>
        <w:t xml:space="preserve">Parágrafo único. </w:t>
      </w:r>
      <w:r>
        <w:rPr>
          <w:rFonts w:asciiTheme="majorHAnsi" w:hAnsiTheme="majorHAnsi" w:cs="Times New Roman"/>
          <w:lang w:val="pt-BR"/>
        </w:rPr>
        <w:t>O Anexo II contém o texto a ser utilizado na diligência</w:t>
      </w:r>
      <w:r w:rsidRPr="00EE7763">
        <w:rPr>
          <w:rFonts w:asciiTheme="majorHAnsi" w:hAnsiTheme="majorHAnsi" w:cs="Times New Roman"/>
          <w:lang w:val="pt-BR"/>
        </w:rPr>
        <w:t>.</w:t>
      </w:r>
    </w:p>
    <w:p w14:paraId="6EF35E14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96D2AD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4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>Esgotado o prazo estabelecido na diligência</w:t>
      </w:r>
      <w:r w:rsidRPr="00203892">
        <w:rPr>
          <w:rFonts w:asciiTheme="majorHAnsi" w:hAnsiTheme="majorHAnsi" w:cs="Times New Roman"/>
          <w:lang w:val="pt-BR"/>
        </w:rPr>
        <w:t xml:space="preserve"> sem que a situaçã</w:t>
      </w:r>
      <w:r>
        <w:rPr>
          <w:rFonts w:asciiTheme="majorHAnsi" w:hAnsiTheme="majorHAnsi" w:cs="Times New Roman"/>
          <w:lang w:val="pt-BR"/>
        </w:rPr>
        <w:t>o tenha sido regularizada, deverá ser enviada a relação das pessoas jurídicas em situação irregular à Coordenação de Fiscalização.</w:t>
      </w:r>
    </w:p>
    <w:p w14:paraId="3C123508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2770007" w14:textId="77777777" w:rsidR="00BC5430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1893818" w14:textId="77777777" w:rsidR="00BC5430" w:rsidRPr="00057366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II – DOS RITOS DA FISCALIZAÇÃO</w:t>
      </w:r>
    </w:p>
    <w:p w14:paraId="2839AF6F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80C1070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5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>A Coordenação de Fiscalização encaminhará, por meio de protocolo, ao agente de fiscalização a informação da pessoa jurídica sem responsável técnico para verificar se a mesma está atuando na prestação de serviços de Arquitetura e Urbanismo.</w:t>
      </w:r>
    </w:p>
    <w:p w14:paraId="11DF6DB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3817EFE" w14:textId="77777777" w:rsidR="00BC5430" w:rsidRPr="00821005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6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 w:rsidRPr="00821005">
        <w:rPr>
          <w:rFonts w:asciiTheme="majorHAnsi" w:hAnsiTheme="majorHAnsi" w:cs="Times New Roman"/>
          <w:lang w:val="pt-BR"/>
        </w:rPr>
        <w:t>Constatada a ocorrência de infração, caberá ao agente de fiscalização registrar o fato no relatório digital de fiscalização e lavrar a notificação da pessoa física ou jurídica responsável pela atividade fiscalizada para, no prazo estabelecido, adotar as providências necessárias para regularizar a situação</w:t>
      </w:r>
      <w:r>
        <w:rPr>
          <w:rFonts w:asciiTheme="majorHAnsi" w:hAnsiTheme="majorHAnsi" w:cs="Times New Roman"/>
          <w:lang w:val="pt-BR"/>
        </w:rPr>
        <w:t>, conforme disposto na Resolução 22/2012 do CAU/BR</w:t>
      </w:r>
      <w:r w:rsidRPr="00821005">
        <w:rPr>
          <w:rFonts w:asciiTheme="majorHAnsi" w:hAnsiTheme="majorHAnsi" w:cs="Times New Roman"/>
          <w:lang w:val="pt-BR"/>
        </w:rPr>
        <w:t>.</w:t>
      </w:r>
    </w:p>
    <w:p w14:paraId="59F1AAD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2734E343" w14:textId="4B667E6D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C5430">
        <w:rPr>
          <w:rFonts w:asciiTheme="majorHAnsi" w:hAnsiTheme="majorHAnsi" w:cs="Times New Roman"/>
          <w:lang w:val="pt-BR"/>
        </w:rPr>
        <w:t>Parágrafo único.</w:t>
      </w:r>
      <w:r w:rsidRPr="0052053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Não constatada a ocorrência de infração, o agente de fiscalização deverá enviar a relação destas pessoas jurídicas à Coordenação de Fiscalização.</w:t>
      </w:r>
    </w:p>
    <w:p w14:paraId="32FF484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68565FA" w14:textId="08F977BA" w:rsidR="00BC5430" w:rsidRPr="00821005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7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A Coordenação de Fiscalização tramitará ao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>Cadastral de Empresas os protocolos</w:t>
      </w:r>
      <w:r>
        <w:rPr>
          <w:rFonts w:asciiTheme="majorHAnsi" w:hAnsiTheme="majorHAnsi" w:cs="Times New Roman"/>
          <w:szCs w:val="20"/>
          <w:lang w:val="pt-BR"/>
        </w:rPr>
        <w:t xml:space="preserve"> das pessoas jurídicas que não estão prestando serviços de Arquitetura e Urbanismo, para que seja realizada a baixa de ofício.</w:t>
      </w:r>
    </w:p>
    <w:p w14:paraId="46A5DD8B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4310066" w14:textId="77777777" w:rsidR="00BC5430" w:rsidRPr="00057366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III – DA BAIXA DE OFÍCIO DA PESSOA JURÍDICA</w:t>
      </w:r>
    </w:p>
    <w:p w14:paraId="46E94044" w14:textId="77777777" w:rsidR="00BC5430" w:rsidRPr="00821005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7D534A2A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8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Cadastral </w:t>
      </w:r>
      <w:r>
        <w:rPr>
          <w:rFonts w:asciiTheme="majorHAnsi" w:hAnsiTheme="majorHAnsi" w:cs="Times New Roman"/>
          <w:szCs w:val="20"/>
          <w:lang w:val="pt-BR"/>
        </w:rPr>
        <w:t xml:space="preserve">de </w:t>
      </w:r>
      <w:r w:rsidRPr="00EE7763">
        <w:rPr>
          <w:rFonts w:asciiTheme="majorHAnsi" w:hAnsiTheme="majorHAnsi" w:cs="Times New Roman"/>
          <w:szCs w:val="20"/>
          <w:lang w:val="pt-BR"/>
        </w:rPr>
        <w:t>Empresas</w:t>
      </w:r>
      <w:r>
        <w:rPr>
          <w:rFonts w:asciiTheme="majorHAnsi" w:hAnsiTheme="majorHAnsi" w:cs="Times New Roman"/>
          <w:szCs w:val="20"/>
          <w:lang w:val="pt-BR"/>
        </w:rPr>
        <w:t xml:space="preserve"> verificará se</w:t>
      </w:r>
      <w:r>
        <w:rPr>
          <w:rFonts w:asciiTheme="majorHAnsi" w:hAnsiTheme="majorHAnsi" w:cs="Times New Roman"/>
          <w:lang w:val="pt-BR"/>
        </w:rPr>
        <w:t xml:space="preserve"> a pessoa jurídica atende aos seguintes critérios para a baixa de ofício</w:t>
      </w:r>
      <w:r w:rsidRPr="00B53AC7">
        <w:rPr>
          <w:rFonts w:asciiTheme="majorHAnsi" w:hAnsiTheme="majorHAnsi" w:cs="Times New Roman"/>
          <w:lang w:val="pt-BR"/>
        </w:rPr>
        <w:t>:</w:t>
      </w:r>
    </w:p>
    <w:p w14:paraId="7F5128D0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797A1A1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D20CB6">
        <w:rPr>
          <w:rFonts w:asciiTheme="majorHAnsi" w:hAnsiTheme="majorHAnsi" w:cs="Times New Roman"/>
          <w:lang w:val="pt-BR"/>
        </w:rPr>
        <w:t xml:space="preserve">I – </w:t>
      </w:r>
      <w:proofErr w:type="gramStart"/>
      <w:r w:rsidRPr="00D20CB6">
        <w:rPr>
          <w:rFonts w:asciiTheme="majorHAnsi" w:hAnsiTheme="majorHAnsi" w:cs="Times New Roman"/>
          <w:lang w:val="pt-BR"/>
        </w:rPr>
        <w:t>encontrar-se</w:t>
      </w:r>
      <w:proofErr w:type="gramEnd"/>
      <w:r w:rsidRPr="00D20CB6">
        <w:rPr>
          <w:rFonts w:asciiTheme="majorHAnsi" w:hAnsiTheme="majorHAnsi" w:cs="Times New Roman"/>
          <w:lang w:val="pt-BR"/>
        </w:rPr>
        <w:t xml:space="preserve"> em regularidade junto ao conselho;</w:t>
      </w:r>
    </w:p>
    <w:p w14:paraId="3F20973F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0572C18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53AC7">
        <w:rPr>
          <w:rFonts w:asciiTheme="majorHAnsi" w:hAnsiTheme="majorHAnsi" w:cs="Times New Roman"/>
          <w:lang w:val="pt-BR"/>
        </w:rPr>
        <w:t xml:space="preserve">II – </w:t>
      </w:r>
      <w:proofErr w:type="gramStart"/>
      <w:r w:rsidRPr="00B53AC7">
        <w:rPr>
          <w:rFonts w:asciiTheme="majorHAnsi" w:hAnsiTheme="majorHAnsi" w:cs="Times New Roman"/>
          <w:lang w:val="pt-BR"/>
        </w:rPr>
        <w:t>não</w:t>
      </w:r>
      <w:proofErr w:type="gramEnd"/>
      <w:r w:rsidRPr="00B53AC7">
        <w:rPr>
          <w:rFonts w:asciiTheme="majorHAnsi" w:hAnsiTheme="majorHAnsi" w:cs="Times New Roman"/>
          <w:lang w:val="pt-BR"/>
        </w:rPr>
        <w:t xml:space="preserve"> possuir RRT em aberto;</w:t>
      </w:r>
    </w:p>
    <w:p w14:paraId="0B437741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3642A69F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53AC7">
        <w:rPr>
          <w:rFonts w:asciiTheme="majorHAnsi" w:hAnsiTheme="majorHAnsi" w:cs="Times New Roman"/>
          <w:lang w:val="pt-BR"/>
        </w:rPr>
        <w:t>III – não estiver respondendo a processo no âmbito do CAU.</w:t>
      </w:r>
    </w:p>
    <w:p w14:paraId="35FEE978" w14:textId="77777777" w:rsidR="00BC5430" w:rsidRPr="00F75DF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F4F73EB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E7763">
        <w:rPr>
          <w:rFonts w:asciiTheme="majorHAnsi" w:hAnsiTheme="majorHAnsi" w:cs="Times New Roman"/>
          <w:lang w:val="pt-BR"/>
        </w:rPr>
        <w:t xml:space="preserve">Parágrafo único. </w:t>
      </w:r>
      <w:r>
        <w:rPr>
          <w:rFonts w:asciiTheme="majorHAnsi" w:hAnsiTheme="majorHAnsi" w:cs="Times New Roman"/>
          <w:lang w:val="pt-BR"/>
        </w:rPr>
        <w:t>Caso a pessoa jurídica possua RRT em aberto, deverá ser procedida a baixa de ofício desse documento.</w:t>
      </w:r>
    </w:p>
    <w:p w14:paraId="761EB13F" w14:textId="77777777" w:rsidR="00BC5430" w:rsidRDefault="00BC5430" w:rsidP="00D20CB6">
      <w:pPr>
        <w:widowControl/>
        <w:spacing w:line="259" w:lineRule="auto"/>
        <w:rPr>
          <w:rFonts w:asciiTheme="majorHAnsi" w:hAnsiTheme="majorHAnsi" w:cs="Times New Roman"/>
          <w:b/>
          <w:lang w:val="pt-BR"/>
        </w:rPr>
      </w:pPr>
    </w:p>
    <w:p w14:paraId="1282A48B" w14:textId="140A46CF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9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Atendido aos critérios do artigo 8º, 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>Cadastral de Empresas procederá</w:t>
      </w:r>
      <w:r>
        <w:rPr>
          <w:rFonts w:asciiTheme="majorHAnsi" w:hAnsiTheme="majorHAnsi" w:cs="Times New Roman"/>
          <w:szCs w:val="20"/>
          <w:lang w:val="pt-BR"/>
        </w:rPr>
        <w:t xml:space="preserve"> a baixa de ofício.</w:t>
      </w:r>
    </w:p>
    <w:p w14:paraId="4BBB7EB7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72F912F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85A4BF3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B20939A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BCB4B1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10DA560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38E27C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F99815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F04DF3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08F35829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7A89CBF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36205D1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3285E2F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561E95D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28426C61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74485A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3AC91FC8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0D4FEA4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639C241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0DE07F0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20E3513D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BB05CD6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7E6691D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D5B6289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5E01C46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1A9A908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4C67E8F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0DF207F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9279A25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F513F0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0AEAE0B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FBC37D4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22B6AE50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549F4E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3D3DC3C" w14:textId="7C4C9235" w:rsidR="00BC5430" w:rsidRDefault="00BC5430" w:rsidP="00BC5430">
      <w:pPr>
        <w:suppressLineNumbers/>
        <w:spacing w:line="276" w:lineRule="auto"/>
        <w:jc w:val="center"/>
        <w:rPr>
          <w:rFonts w:ascii="Cambria" w:hAnsi="Cambria"/>
          <w:b/>
          <w:lang w:val="pt-BR"/>
        </w:rPr>
      </w:pPr>
      <w:r w:rsidRPr="00BC5430">
        <w:rPr>
          <w:rFonts w:ascii="Cambria" w:hAnsi="Cambria"/>
          <w:b/>
          <w:lang w:val="pt-BR"/>
        </w:rPr>
        <w:lastRenderedPageBreak/>
        <w:t>ANEXO II</w:t>
      </w:r>
    </w:p>
    <w:p w14:paraId="3FE1586D" w14:textId="77777777" w:rsidR="00BC5430" w:rsidRDefault="00BC5430" w:rsidP="00BC5430">
      <w:pPr>
        <w:suppressLineNumbers/>
        <w:spacing w:line="276" w:lineRule="auto"/>
        <w:jc w:val="center"/>
        <w:rPr>
          <w:rFonts w:ascii="Cambria" w:hAnsi="Cambria"/>
          <w:b/>
          <w:lang w:val="pt-BR"/>
        </w:rPr>
      </w:pPr>
    </w:p>
    <w:p w14:paraId="430A1AEC" w14:textId="1AD6AF84" w:rsidR="00BC5430" w:rsidRPr="00BC5430" w:rsidRDefault="00BC5430" w:rsidP="00BC5430">
      <w:pPr>
        <w:suppressLineNumbers/>
        <w:spacing w:line="276" w:lineRule="auto"/>
        <w:jc w:val="center"/>
        <w:rPr>
          <w:rFonts w:ascii="Cambria" w:hAnsi="Cambria"/>
          <w:b/>
          <w:lang w:val="pt-BR"/>
        </w:rPr>
      </w:pPr>
      <w:r w:rsidRPr="00BC5430">
        <w:rPr>
          <w:rFonts w:ascii="Cambria" w:hAnsi="Cambria"/>
          <w:b/>
          <w:lang w:val="pt-BR"/>
        </w:rPr>
        <w:t>DESPACHO</w:t>
      </w:r>
    </w:p>
    <w:p w14:paraId="31B4B33A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C5430" w14:paraId="7DED379B" w14:textId="77777777" w:rsidTr="00BC5430">
        <w:tc>
          <w:tcPr>
            <w:tcW w:w="9622" w:type="dxa"/>
          </w:tcPr>
          <w:p w14:paraId="2A759F1E" w14:textId="505FCE83" w:rsidR="00BC5430" w:rsidRPr="00BC5430" w:rsidRDefault="00D20CB6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proofErr w:type="gramStart"/>
            <w:r w:rsidRPr="00D20CB6">
              <w:rPr>
                <w:rFonts w:asciiTheme="majorHAnsi" w:hAnsiTheme="majorHAnsi" w:cs="Times New Roman"/>
                <w:szCs w:val="20"/>
                <w:lang w:val="pt-BR"/>
              </w:rPr>
              <w:t>Prezado(</w:t>
            </w:r>
            <w:proofErr w:type="gramEnd"/>
            <w:r w:rsidRPr="00D20CB6">
              <w:rPr>
                <w:rFonts w:asciiTheme="majorHAnsi" w:hAnsiTheme="majorHAnsi" w:cs="Times New Roman"/>
                <w:szCs w:val="20"/>
                <w:lang w:val="pt-BR"/>
              </w:rPr>
              <w:t xml:space="preserve">a) Responsável, venho comunicar que sua empresa se encontra AUSENTE DE ARQUITETO E URBANISTA RESPONSÁVEL TÉCNICO em seu registro no CAU </w:t>
            </w:r>
            <w:r w:rsidR="00BC5430" w:rsidRPr="00BC5430">
              <w:rPr>
                <w:rFonts w:asciiTheme="majorHAnsi" w:hAnsiTheme="majorHAnsi" w:cs="Times New Roman"/>
                <w:szCs w:val="20"/>
                <w:lang w:val="pt-BR"/>
              </w:rPr>
              <w:t>(data de fim das Responsabilidades Técnicas anotadas já se findaram) e, por isto, necessita apresentar um novo Responsável Técnico. De acordo com o parágrafo 1° do artigo 23 da RESOLUÇÃO N° 28, DE 6 DE JULHO DE 2012, a empresa possui 10 dias para apresentar novo Responsável Técnico da empresa sob pena de sujeitar-se às cominações legais cabíveis. Para incluir um novo responsável técnico em sua empresa, você deve criar um protocolo de “INCLUSÃO DE RESPONSABILIDADE TÉCNICA” pelo SICCAU da empresa e anexar os seguintes documentos:</w:t>
            </w:r>
          </w:p>
          <w:p w14:paraId="7D661AE9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512354C1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01) Comprovação de vínculo do(s) responsável(eis) técnico(s) com a pessoa jurídica: carteira de trabalho e previdência social (CTPS); contrato de prestação de serviços; portaria de nomeação/termo de exercício, etc. No caso do(s) arquiteto(s) responsável(eis) ser(em) sócio(s) da empresa, este item é dispensado, desde que apresentado Ato constitutivo ou documento equivalente (contrato social, requerimento de empresário individual, etc.), devidamente registrado no órgão competente, incluindo as alterações, ou se for o caso, a consolidação e as alterações posteriores.</w:t>
            </w:r>
          </w:p>
          <w:p w14:paraId="5377508C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2359DBEF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 xml:space="preserve"> 02) Registro de Responsabilidade Técnica (RRT) de Cargo/Função </w:t>
            </w:r>
            <w:proofErr w:type="gramStart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do(</w:t>
            </w:r>
            <w:proofErr w:type="gramEnd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s) arquiteto(s) e urbanista(s) indicado(s) como responsável(eis) técnico(s), a ser elaborado digitalmente no SICCAU, pelo profissional em conformidade com o documento de vínculo que possui com a pessoa jurídica (O RRT deve estar pago e ter sido preenchido com a Atividade Técnica de “CARGO OU FUNÇÃO TÉCNICA”); (Todas as informações anotadas no RRT devem estar de acordo com o contrato de prestação de serviços.)</w:t>
            </w:r>
          </w:p>
          <w:p w14:paraId="495727D4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2F9FDF36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ATENÇÃO. Antes de enviar o documento citado no item 01, verificar se o RRT está preenchido em conformidade com as informações constantes no comprovante de vínculo: conferir os campos Data de Celebração de Contrato, data de início da atividade, data previsão de término (se houver), carga horária (quantidade e unidade, se mencionada em h/d, h/sem ou h/mês), e preencher o valor de honorários se determinado em comprovante de vínculo. Caso precise fazer quaisquer das alterações mencionadas, preencha um RRT Retificador.</w:t>
            </w:r>
          </w:p>
          <w:p w14:paraId="2342E360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58199BA9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proofErr w:type="gramStart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:::::</w:t>
            </w:r>
            <w:proofErr w:type="gramEnd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:::::IMPORTANTE::::::::::</w:t>
            </w:r>
          </w:p>
          <w:p w14:paraId="69758EAA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5DEEFBA7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Em caso de dúvidas, favor contatar o atendimento do CAU/MG: (31) 2519-0950.</w:t>
            </w:r>
          </w:p>
          <w:p w14:paraId="34392516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0F509AA8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Atenciosamente,</w:t>
            </w:r>
          </w:p>
          <w:p w14:paraId="2249D475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2FCA4607" w14:textId="0568538A" w:rsid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Setor de Registro de Empresa e Atualização Cadastral - CAU/MG.</w:t>
            </w:r>
          </w:p>
        </w:tc>
      </w:tr>
    </w:tbl>
    <w:p w14:paraId="7800157A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  <w:bookmarkStart w:id="0" w:name="_GoBack"/>
      <w:bookmarkEnd w:id="0"/>
    </w:p>
    <w:sectPr w:rsidR="00BC543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1EB1B" w14:textId="77777777" w:rsidR="00682DED" w:rsidRDefault="00682DED" w:rsidP="007E22C9">
      <w:r>
        <w:separator/>
      </w:r>
    </w:p>
  </w:endnote>
  <w:endnote w:type="continuationSeparator" w:id="0">
    <w:p w14:paraId="6CFE860C" w14:textId="77777777" w:rsidR="00682DED" w:rsidRDefault="00682DE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EC1A" w14:textId="77777777" w:rsidR="00682DED" w:rsidRDefault="00682DED" w:rsidP="007E22C9">
      <w:r>
        <w:separator/>
      </w:r>
    </w:p>
  </w:footnote>
  <w:footnote w:type="continuationSeparator" w:id="0">
    <w:p w14:paraId="38DC6F03" w14:textId="77777777" w:rsidR="00682DED" w:rsidRDefault="00682DE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8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8"/>
  </w:num>
  <w:num w:numId="4">
    <w:abstractNumId w:val="24"/>
  </w:num>
  <w:num w:numId="5">
    <w:abstractNumId w:val="13"/>
  </w:num>
  <w:num w:numId="6">
    <w:abstractNumId w:val="5"/>
  </w:num>
  <w:num w:numId="7">
    <w:abstractNumId w:val="42"/>
  </w:num>
  <w:num w:numId="8">
    <w:abstractNumId w:val="2"/>
  </w:num>
  <w:num w:numId="9">
    <w:abstractNumId w:val="4"/>
  </w:num>
  <w:num w:numId="10">
    <w:abstractNumId w:val="23"/>
  </w:num>
  <w:num w:numId="11">
    <w:abstractNumId w:val="40"/>
  </w:num>
  <w:num w:numId="12">
    <w:abstractNumId w:val="14"/>
  </w:num>
  <w:num w:numId="13">
    <w:abstractNumId w:val="27"/>
  </w:num>
  <w:num w:numId="14">
    <w:abstractNumId w:val="44"/>
  </w:num>
  <w:num w:numId="15">
    <w:abstractNumId w:val="18"/>
  </w:num>
  <w:num w:numId="16">
    <w:abstractNumId w:val="37"/>
  </w:num>
  <w:num w:numId="17">
    <w:abstractNumId w:val="12"/>
  </w:num>
  <w:num w:numId="18">
    <w:abstractNumId w:val="20"/>
  </w:num>
  <w:num w:numId="19">
    <w:abstractNumId w:val="31"/>
  </w:num>
  <w:num w:numId="20">
    <w:abstractNumId w:val="17"/>
  </w:num>
  <w:num w:numId="21">
    <w:abstractNumId w:val="33"/>
  </w:num>
  <w:num w:numId="22">
    <w:abstractNumId w:val="1"/>
  </w:num>
  <w:num w:numId="23">
    <w:abstractNumId w:val="10"/>
  </w:num>
  <w:num w:numId="24">
    <w:abstractNumId w:val="41"/>
  </w:num>
  <w:num w:numId="25">
    <w:abstractNumId w:val="3"/>
  </w:num>
  <w:num w:numId="26">
    <w:abstractNumId w:val="34"/>
  </w:num>
  <w:num w:numId="27">
    <w:abstractNumId w:val="35"/>
  </w:num>
  <w:num w:numId="28">
    <w:abstractNumId w:val="29"/>
  </w:num>
  <w:num w:numId="29">
    <w:abstractNumId w:val="21"/>
  </w:num>
  <w:num w:numId="30">
    <w:abstractNumId w:val="22"/>
  </w:num>
  <w:num w:numId="31">
    <w:abstractNumId w:val="19"/>
  </w:num>
  <w:num w:numId="32">
    <w:abstractNumId w:val="15"/>
  </w:num>
  <w:num w:numId="33">
    <w:abstractNumId w:val="28"/>
  </w:num>
  <w:num w:numId="34">
    <w:abstractNumId w:val="39"/>
  </w:num>
  <w:num w:numId="35">
    <w:abstractNumId w:val="30"/>
  </w:num>
  <w:num w:numId="36">
    <w:abstractNumId w:val="26"/>
  </w:num>
  <w:num w:numId="37">
    <w:abstractNumId w:val="32"/>
  </w:num>
  <w:num w:numId="38">
    <w:abstractNumId w:val="0"/>
  </w:num>
  <w:num w:numId="39">
    <w:abstractNumId w:val="7"/>
  </w:num>
  <w:num w:numId="40">
    <w:abstractNumId w:val="9"/>
  </w:num>
  <w:num w:numId="41">
    <w:abstractNumId w:val="36"/>
  </w:num>
  <w:num w:numId="42">
    <w:abstractNumId w:val="16"/>
  </w:num>
  <w:num w:numId="43">
    <w:abstractNumId w:val="6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3CE6"/>
    <w:rsid w:val="00141DC3"/>
    <w:rsid w:val="001573AF"/>
    <w:rsid w:val="00167BC0"/>
    <w:rsid w:val="00174EAC"/>
    <w:rsid w:val="0017532C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B7CDB"/>
    <w:rsid w:val="002C34B5"/>
    <w:rsid w:val="002C6113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2427"/>
    <w:rsid w:val="003508F5"/>
    <w:rsid w:val="00365686"/>
    <w:rsid w:val="00370790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D0E83"/>
    <w:rsid w:val="004D373B"/>
    <w:rsid w:val="004E4C07"/>
    <w:rsid w:val="004F30A6"/>
    <w:rsid w:val="004F7471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329D"/>
    <w:rsid w:val="005779F5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341D4"/>
    <w:rsid w:val="0064596F"/>
    <w:rsid w:val="0066291C"/>
    <w:rsid w:val="006818FB"/>
    <w:rsid w:val="00682DED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22E5D"/>
    <w:rsid w:val="007232C3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31E38"/>
    <w:rsid w:val="00833B19"/>
    <w:rsid w:val="00844195"/>
    <w:rsid w:val="00856722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F43B0"/>
    <w:rsid w:val="008F4493"/>
    <w:rsid w:val="009111E4"/>
    <w:rsid w:val="009173F5"/>
    <w:rsid w:val="00931040"/>
    <w:rsid w:val="009310B5"/>
    <w:rsid w:val="009318BE"/>
    <w:rsid w:val="0093454B"/>
    <w:rsid w:val="00940389"/>
    <w:rsid w:val="00940C7F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C5430"/>
    <w:rsid w:val="00BC5979"/>
    <w:rsid w:val="00BC6792"/>
    <w:rsid w:val="00BD286A"/>
    <w:rsid w:val="00BD370D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20C72"/>
    <w:rsid w:val="00D20CB6"/>
    <w:rsid w:val="00D34F6A"/>
    <w:rsid w:val="00D41AF9"/>
    <w:rsid w:val="00D613B4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5226D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1648"/>
    <w:rsid w:val="00F0304C"/>
    <w:rsid w:val="00F06051"/>
    <w:rsid w:val="00F07AD4"/>
    <w:rsid w:val="00F13C0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A7C03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B4D"/>
  <w15:docId w15:val="{FD76DD69-9A32-49A6-B706-C5406F3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CF7E-A705-41B4-ADE6-9CDB39A6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1458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4</cp:revision>
  <cp:lastPrinted>2019-01-22T18:20:00Z</cp:lastPrinted>
  <dcterms:created xsi:type="dcterms:W3CDTF">2019-08-16T13:23:00Z</dcterms:created>
  <dcterms:modified xsi:type="dcterms:W3CDTF">2019-08-16T13:37:00Z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