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B6D00" w:rsidRDefault="002B6D00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807BC9" w:rsidRPr="00AB4ECB" w:rsidTr="00020E90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807BC9" w:rsidRPr="00AB4ECB" w:rsidRDefault="00807BC9" w:rsidP="00020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B4ECB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807BC9" w:rsidRPr="00AB4ECB" w:rsidTr="00742B31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C9" w:rsidRPr="00AB4ECB" w:rsidRDefault="00807BC9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BC9" w:rsidRPr="00AB4ECB" w:rsidRDefault="00807BC9" w:rsidP="00020E9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07BC9" w:rsidRPr="00AB4ECB" w:rsidTr="00742B31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C9" w:rsidRPr="00AB4ECB" w:rsidRDefault="00807BC9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BC9" w:rsidRPr="00AB4ECB" w:rsidRDefault="00807BC9" w:rsidP="00020E90">
            <w:pPr>
              <w:spacing w:line="276" w:lineRule="auto"/>
              <w:rPr>
                <w:rFonts w:asciiTheme="minorHAnsi" w:hAnsiTheme="minorHAnsi"/>
              </w:rPr>
            </w:pPr>
            <w:r w:rsidRPr="00AB4ECB">
              <w:rPr>
                <w:rFonts w:asciiTheme="minorHAnsi" w:hAnsiTheme="minorHAnsi"/>
              </w:rPr>
              <w:t>CAU/MG</w:t>
            </w:r>
          </w:p>
        </w:tc>
      </w:tr>
      <w:tr w:rsidR="00807BC9" w:rsidRPr="00AB4ECB" w:rsidTr="00742B31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C9" w:rsidRPr="00AB4ECB" w:rsidRDefault="00807BC9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7FD" w:rsidRPr="00807BC9" w:rsidRDefault="00742B31" w:rsidP="00742B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07BC9" w:rsidRPr="00807BC9">
              <w:rPr>
                <w:rFonts w:asciiTheme="minorHAnsi" w:hAnsiTheme="minorHAnsi"/>
              </w:rPr>
              <w:t>arecer jurídico para subsidiar as decisões do Plenário no que se refere aos recursos encaminhados ao Plenário.</w:t>
            </w:r>
          </w:p>
        </w:tc>
      </w:tr>
      <w:tr w:rsidR="00807BC9" w:rsidRPr="00AB4ECB" w:rsidTr="00020E90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BC9" w:rsidRPr="00250830" w:rsidRDefault="00807BC9" w:rsidP="00020E90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07BC9" w:rsidRPr="00AB4ECB" w:rsidTr="00742B31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BC9" w:rsidRPr="00AB4ECB" w:rsidRDefault="00807BC9" w:rsidP="00980DA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4</w:t>
            </w:r>
            <w:r w:rsidR="00980DA6">
              <w:rPr>
                <w:rFonts w:asciiTheme="minorHAnsi" w:hAnsiTheme="minorHAnsi"/>
                <w:b/>
              </w:rPr>
              <w:t>3</w:t>
            </w:r>
            <w:bookmarkStart w:id="0" w:name="_GoBack"/>
            <w:bookmarkEnd w:id="0"/>
            <w:r w:rsidRPr="00AB4ECB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807BC9" w:rsidRDefault="00807BC9" w:rsidP="00807BC9">
      <w:pPr>
        <w:jc w:val="both"/>
        <w:rPr>
          <w:rFonts w:ascii="Arial Narrow" w:hAnsi="Arial Narrow"/>
        </w:rPr>
      </w:pPr>
    </w:p>
    <w:p w:rsidR="00807BC9" w:rsidRDefault="00807BC9" w:rsidP="00742B31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>
        <w:rPr>
          <w:rFonts w:asciiTheme="minorHAnsi" w:hAnsiTheme="minorHAnsi"/>
        </w:rPr>
        <w:t xml:space="preserve">onselho Diretor do CAU/MG – CD-CAU/MG, reunido ordinariamente em Belo Horizonte, no dia 18 de maio de 2015, nas instalações do Hotel Royal Savassi, localizado na Rua Alagoas, nº 699, na Savassi, </w:t>
      </w:r>
      <w:r w:rsidRPr="00ED27A1">
        <w:rPr>
          <w:rFonts w:asciiTheme="minorHAnsi" w:hAnsiTheme="minorHAnsi"/>
        </w:rPr>
        <w:t xml:space="preserve">no uso </w:t>
      </w:r>
      <w:r w:rsidRPr="00E757F9">
        <w:rPr>
          <w:rFonts w:asciiTheme="minorHAnsi" w:hAnsiTheme="minorHAnsi"/>
        </w:rPr>
        <w:t>das competências que lhe conferem</w:t>
      </w:r>
      <w:r>
        <w:rPr>
          <w:rFonts w:asciiTheme="minorHAnsi" w:hAnsiTheme="minorHAnsi"/>
        </w:rPr>
        <w:t xml:space="preserve"> o </w:t>
      </w:r>
      <w:r w:rsidRPr="00ED27A1">
        <w:rPr>
          <w:rFonts w:asciiTheme="minorHAnsi" w:hAnsiTheme="minorHAnsi"/>
        </w:rPr>
        <w:t>art. 68</w:t>
      </w:r>
      <w:r>
        <w:rPr>
          <w:rFonts w:asciiTheme="minorHAnsi" w:hAnsiTheme="minorHAnsi"/>
        </w:rPr>
        <w:t xml:space="preserve"> </w:t>
      </w:r>
      <w:r w:rsidRPr="00E757F9">
        <w:rPr>
          <w:rFonts w:asciiTheme="minorHAnsi" w:hAnsiTheme="minorHAnsi"/>
        </w:rPr>
        <w:t>do Regimento Interno aprovado pela Deliberação Plenária nº 190/2014</w:t>
      </w:r>
      <w:r>
        <w:rPr>
          <w:rFonts w:asciiTheme="minorHAnsi" w:hAnsiTheme="minorHAnsi"/>
        </w:rPr>
        <w:t>, do CAU/MG</w:t>
      </w:r>
      <w:r w:rsidRPr="00E757F9">
        <w:rPr>
          <w:rFonts w:asciiTheme="minorHAnsi" w:hAnsiTheme="minorHAnsi"/>
        </w:rPr>
        <w:t xml:space="preserve"> e homologado pela Deliberação Plenária nº DPABR 0037-03/2014</w:t>
      </w:r>
      <w:r>
        <w:rPr>
          <w:rFonts w:asciiTheme="minorHAnsi" w:hAnsiTheme="minorHAnsi"/>
        </w:rPr>
        <w:t xml:space="preserve">, </w:t>
      </w:r>
      <w:r w:rsidRPr="00E757F9">
        <w:rPr>
          <w:rFonts w:asciiTheme="minorHAnsi" w:hAnsiTheme="minorHAnsi"/>
        </w:rPr>
        <w:t>do CAU/BR;</w:t>
      </w:r>
      <w:r>
        <w:rPr>
          <w:rFonts w:asciiTheme="minorHAnsi" w:hAnsiTheme="minorHAnsi"/>
        </w:rPr>
        <w:t xml:space="preserve"> </w:t>
      </w:r>
    </w:p>
    <w:p w:rsidR="002B6D00" w:rsidRPr="00807BC9" w:rsidRDefault="002B6D00" w:rsidP="00AA5163">
      <w:pPr>
        <w:jc w:val="both"/>
        <w:rPr>
          <w:rFonts w:asciiTheme="minorHAnsi" w:hAnsiTheme="minorHAnsi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807BC9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8237DD" w:rsidRPr="00807BC9" w:rsidRDefault="008237DD" w:rsidP="007435AF">
      <w:pPr>
        <w:jc w:val="both"/>
        <w:rPr>
          <w:rFonts w:asciiTheme="minorHAnsi" w:hAnsiTheme="minorHAnsi"/>
          <w:b/>
        </w:rPr>
      </w:pPr>
    </w:p>
    <w:p w:rsidR="00024575" w:rsidRDefault="00A664E2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742B31">
        <w:rPr>
          <w:rFonts w:asciiTheme="minorHAnsi" w:hAnsiTheme="minorHAnsi"/>
        </w:rPr>
        <w:t xml:space="preserve">Solicitar </w:t>
      </w:r>
      <w:r w:rsidR="00826E1E">
        <w:rPr>
          <w:rFonts w:asciiTheme="minorHAnsi" w:hAnsiTheme="minorHAnsi"/>
        </w:rPr>
        <w:t xml:space="preserve">à Gerência Jurídica </w:t>
      </w:r>
      <w:r w:rsidR="00A94F37">
        <w:rPr>
          <w:rFonts w:asciiTheme="minorHAnsi" w:hAnsiTheme="minorHAnsi"/>
        </w:rPr>
        <w:t>elaboração de p</w:t>
      </w:r>
      <w:r w:rsidR="00826E1E">
        <w:rPr>
          <w:rFonts w:asciiTheme="minorHAnsi" w:hAnsiTheme="minorHAnsi"/>
        </w:rPr>
        <w:t>arecer jurídico com o objetivo de subsidiar as decisões dos Conselheiros no que se refere</w:t>
      </w:r>
      <w:r w:rsidR="00742B31">
        <w:rPr>
          <w:rFonts w:asciiTheme="minorHAnsi" w:hAnsiTheme="minorHAnsi"/>
        </w:rPr>
        <w:t>m</w:t>
      </w:r>
      <w:r w:rsidR="00826E1E">
        <w:rPr>
          <w:rFonts w:asciiTheme="minorHAnsi" w:hAnsiTheme="minorHAnsi"/>
        </w:rPr>
        <w:t xml:space="preserve"> aos </w:t>
      </w:r>
      <w:r w:rsidR="00831A44">
        <w:rPr>
          <w:rFonts w:asciiTheme="minorHAnsi" w:hAnsiTheme="minorHAnsi"/>
        </w:rPr>
        <w:t xml:space="preserve">recursos </w:t>
      </w:r>
      <w:r w:rsidR="00826E1E">
        <w:rPr>
          <w:rFonts w:asciiTheme="minorHAnsi" w:hAnsiTheme="minorHAnsi"/>
        </w:rPr>
        <w:t xml:space="preserve">encaminhados ao </w:t>
      </w:r>
      <w:r w:rsidR="00A94F37">
        <w:rPr>
          <w:rFonts w:asciiTheme="minorHAnsi" w:hAnsiTheme="minorHAnsi"/>
        </w:rPr>
        <w:t>Plenário para apreciação e votação.</w:t>
      </w:r>
    </w:p>
    <w:p w:rsidR="00024575" w:rsidRDefault="00024575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 xml:space="preserve">Art. </w:t>
      </w:r>
      <w:r w:rsidR="00826E1E">
        <w:rPr>
          <w:rFonts w:asciiTheme="minorHAnsi" w:hAnsiTheme="minorHAnsi"/>
          <w:b/>
        </w:rPr>
        <w:t>2</w:t>
      </w:r>
      <w:r w:rsidRPr="00024575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113722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772DA6" w:rsidRPr="00807BC9" w:rsidRDefault="00772DA6" w:rsidP="00772DA6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18 de maio de 2015.</w:t>
      </w:r>
    </w:p>
    <w:p w:rsidR="00CB04C2" w:rsidRDefault="00CB04C2" w:rsidP="000943A4">
      <w:pPr>
        <w:jc w:val="center"/>
        <w:rPr>
          <w:rFonts w:asciiTheme="minorHAnsi" w:hAnsiTheme="minorHAnsi"/>
        </w:rPr>
      </w:pPr>
    </w:p>
    <w:p w:rsidR="00807BC9" w:rsidRDefault="00807BC9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807BC9" w:rsidRDefault="00807BC9" w:rsidP="00807BC9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Dennison Caldeira Rocha</w:t>
      </w:r>
    </w:p>
    <w:p w:rsidR="00807BC9" w:rsidRPr="00CC4707" w:rsidRDefault="00807BC9" w:rsidP="00807B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em exercício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</w:t>
      </w:r>
      <w:r w:rsidRPr="00CC4707">
        <w:rPr>
          <w:rFonts w:asciiTheme="minorHAnsi" w:hAnsiTheme="minorHAnsi"/>
        </w:rPr>
        <w:t>Coordenador da CPFI-CAU/MG</w:t>
      </w:r>
    </w:p>
    <w:p w:rsidR="00807BC9" w:rsidRDefault="00807BC9" w:rsidP="00807BC9">
      <w:pPr>
        <w:rPr>
          <w:rFonts w:asciiTheme="minorHAnsi" w:hAnsiTheme="minorHAnsi"/>
          <w:b/>
        </w:rPr>
      </w:pPr>
    </w:p>
    <w:p w:rsidR="00807BC9" w:rsidRDefault="00807BC9" w:rsidP="00807BC9">
      <w:pPr>
        <w:rPr>
          <w:rFonts w:asciiTheme="minorHAnsi" w:hAnsiTheme="minorHAnsi"/>
          <w:b/>
        </w:rPr>
      </w:pPr>
    </w:p>
    <w:p w:rsidR="00807BC9" w:rsidRDefault="00807BC9" w:rsidP="00807BC9">
      <w:pPr>
        <w:rPr>
          <w:rFonts w:asciiTheme="minorHAnsi" w:hAnsiTheme="minorHAnsi"/>
          <w:b/>
        </w:rPr>
      </w:pPr>
    </w:p>
    <w:p w:rsidR="00807BC9" w:rsidRDefault="00807BC9" w:rsidP="00807B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807BC9" w:rsidRDefault="00807BC9" w:rsidP="00807B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7BC9" w:rsidRDefault="00807BC9" w:rsidP="00807BC9">
      <w:pPr>
        <w:jc w:val="both"/>
        <w:rPr>
          <w:rFonts w:asciiTheme="minorHAnsi" w:hAnsiTheme="minorHAnsi"/>
        </w:rPr>
      </w:pPr>
    </w:p>
    <w:p w:rsidR="00807BC9" w:rsidRDefault="00807BC9" w:rsidP="00807B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7BC9" w:rsidRDefault="00807BC9" w:rsidP="00807B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856B54" w:rsidRDefault="00807BC9" w:rsidP="00807BC9">
      <w:pPr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Pr="00ED27A1">
        <w:rPr>
          <w:rFonts w:asciiTheme="minorHAnsi" w:hAnsiTheme="minorHAnsi"/>
        </w:rPr>
        <w:tab/>
      </w:r>
    </w:p>
    <w:sectPr w:rsidR="00856B5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80D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80D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80D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162A8"/>
    <w:rsid w:val="000218BC"/>
    <w:rsid w:val="00024575"/>
    <w:rsid w:val="00031AB9"/>
    <w:rsid w:val="000350F9"/>
    <w:rsid w:val="000607C0"/>
    <w:rsid w:val="00084FA7"/>
    <w:rsid w:val="00094156"/>
    <w:rsid w:val="000943A4"/>
    <w:rsid w:val="000A6F90"/>
    <w:rsid w:val="000D67B1"/>
    <w:rsid w:val="001100AE"/>
    <w:rsid w:val="00113722"/>
    <w:rsid w:val="0011493D"/>
    <w:rsid w:val="00122EB7"/>
    <w:rsid w:val="00140E9F"/>
    <w:rsid w:val="0014109E"/>
    <w:rsid w:val="00146DD2"/>
    <w:rsid w:val="00167101"/>
    <w:rsid w:val="00172E85"/>
    <w:rsid w:val="00193B23"/>
    <w:rsid w:val="001B3BED"/>
    <w:rsid w:val="001E3D80"/>
    <w:rsid w:val="001E4250"/>
    <w:rsid w:val="002177EE"/>
    <w:rsid w:val="0022760A"/>
    <w:rsid w:val="0024288F"/>
    <w:rsid w:val="00250830"/>
    <w:rsid w:val="00262CC1"/>
    <w:rsid w:val="00263523"/>
    <w:rsid w:val="002654CD"/>
    <w:rsid w:val="002A4C7F"/>
    <w:rsid w:val="002B5386"/>
    <w:rsid w:val="002B5C79"/>
    <w:rsid w:val="002B6D00"/>
    <w:rsid w:val="002C79CB"/>
    <w:rsid w:val="002F0AFA"/>
    <w:rsid w:val="003000F1"/>
    <w:rsid w:val="00302702"/>
    <w:rsid w:val="003045E7"/>
    <w:rsid w:val="00323351"/>
    <w:rsid w:val="00327759"/>
    <w:rsid w:val="00351AB3"/>
    <w:rsid w:val="00376896"/>
    <w:rsid w:val="003D0BF8"/>
    <w:rsid w:val="003E5A27"/>
    <w:rsid w:val="003F398C"/>
    <w:rsid w:val="004410D6"/>
    <w:rsid w:val="00441347"/>
    <w:rsid w:val="004458CC"/>
    <w:rsid w:val="0045278B"/>
    <w:rsid w:val="00475A37"/>
    <w:rsid w:val="004B4302"/>
    <w:rsid w:val="004C27DC"/>
    <w:rsid w:val="004F582C"/>
    <w:rsid w:val="00505A82"/>
    <w:rsid w:val="00526242"/>
    <w:rsid w:val="005427EB"/>
    <w:rsid w:val="00551D48"/>
    <w:rsid w:val="005661FF"/>
    <w:rsid w:val="005A1CA3"/>
    <w:rsid w:val="005A6B3B"/>
    <w:rsid w:val="005B2F89"/>
    <w:rsid w:val="005B407C"/>
    <w:rsid w:val="005C1159"/>
    <w:rsid w:val="005F43B9"/>
    <w:rsid w:val="00611D51"/>
    <w:rsid w:val="006127FD"/>
    <w:rsid w:val="00616CED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228A4"/>
    <w:rsid w:val="00726A60"/>
    <w:rsid w:val="00736A1F"/>
    <w:rsid w:val="00740B04"/>
    <w:rsid w:val="00742B31"/>
    <w:rsid w:val="007435AF"/>
    <w:rsid w:val="00753AD5"/>
    <w:rsid w:val="007572B4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807BC9"/>
    <w:rsid w:val="00812B93"/>
    <w:rsid w:val="00820A01"/>
    <w:rsid w:val="008237DD"/>
    <w:rsid w:val="00823CF1"/>
    <w:rsid w:val="00826E1E"/>
    <w:rsid w:val="0082798C"/>
    <w:rsid w:val="00831A44"/>
    <w:rsid w:val="008455C5"/>
    <w:rsid w:val="00855C5A"/>
    <w:rsid w:val="00856B54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1813"/>
    <w:rsid w:val="00933CE4"/>
    <w:rsid w:val="00952A5B"/>
    <w:rsid w:val="00975D07"/>
    <w:rsid w:val="00977583"/>
    <w:rsid w:val="00977705"/>
    <w:rsid w:val="00980DA6"/>
    <w:rsid w:val="00997B87"/>
    <w:rsid w:val="009D0220"/>
    <w:rsid w:val="009D6FBE"/>
    <w:rsid w:val="009D7DF3"/>
    <w:rsid w:val="009F1005"/>
    <w:rsid w:val="009F512C"/>
    <w:rsid w:val="00A12079"/>
    <w:rsid w:val="00A143AE"/>
    <w:rsid w:val="00A23CE9"/>
    <w:rsid w:val="00A41BCF"/>
    <w:rsid w:val="00A61825"/>
    <w:rsid w:val="00A653CA"/>
    <w:rsid w:val="00A6634A"/>
    <w:rsid w:val="00A664E2"/>
    <w:rsid w:val="00A723C3"/>
    <w:rsid w:val="00A8495A"/>
    <w:rsid w:val="00A85B5D"/>
    <w:rsid w:val="00A947FD"/>
    <w:rsid w:val="00A94F37"/>
    <w:rsid w:val="00A96DB6"/>
    <w:rsid w:val="00AA5163"/>
    <w:rsid w:val="00AC0FC9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C14B4D"/>
    <w:rsid w:val="00C1579D"/>
    <w:rsid w:val="00C203F2"/>
    <w:rsid w:val="00C3121C"/>
    <w:rsid w:val="00C81364"/>
    <w:rsid w:val="00C86F18"/>
    <w:rsid w:val="00C87119"/>
    <w:rsid w:val="00CB04C2"/>
    <w:rsid w:val="00CB6E9F"/>
    <w:rsid w:val="00CD43E6"/>
    <w:rsid w:val="00CD668E"/>
    <w:rsid w:val="00CF7255"/>
    <w:rsid w:val="00D0191C"/>
    <w:rsid w:val="00D100EA"/>
    <w:rsid w:val="00D426CF"/>
    <w:rsid w:val="00D43CEB"/>
    <w:rsid w:val="00D62024"/>
    <w:rsid w:val="00D65368"/>
    <w:rsid w:val="00D826DA"/>
    <w:rsid w:val="00D906EB"/>
    <w:rsid w:val="00DA5265"/>
    <w:rsid w:val="00DA6559"/>
    <w:rsid w:val="00DC2230"/>
    <w:rsid w:val="00DE01FA"/>
    <w:rsid w:val="00DE1BCE"/>
    <w:rsid w:val="00DF4E41"/>
    <w:rsid w:val="00E046EB"/>
    <w:rsid w:val="00E116E7"/>
    <w:rsid w:val="00E21D12"/>
    <w:rsid w:val="00E55BF0"/>
    <w:rsid w:val="00EB7A50"/>
    <w:rsid w:val="00EC104E"/>
    <w:rsid w:val="00ED1EFE"/>
    <w:rsid w:val="00ED27A1"/>
    <w:rsid w:val="00EE4CE8"/>
    <w:rsid w:val="00EE4FDD"/>
    <w:rsid w:val="00F338E6"/>
    <w:rsid w:val="00F40195"/>
    <w:rsid w:val="00F50E18"/>
    <w:rsid w:val="00F978BF"/>
    <w:rsid w:val="00FA1378"/>
    <w:rsid w:val="00FB1D3E"/>
    <w:rsid w:val="00FC515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23</cp:revision>
  <cp:lastPrinted>2015-01-16T14:19:00Z</cp:lastPrinted>
  <dcterms:created xsi:type="dcterms:W3CDTF">2015-05-20T13:03:00Z</dcterms:created>
  <dcterms:modified xsi:type="dcterms:W3CDTF">2015-05-29T15:50:00Z</dcterms:modified>
</cp:coreProperties>
</file>