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F11CB3" w:rsidRDefault="00F11CB3" w:rsidP="007435AF">
      <w:pPr>
        <w:jc w:val="both"/>
        <w:rPr>
          <w:rFonts w:ascii="Arial Narrow" w:hAnsi="Arial Narrow"/>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037883" w:rsidTr="00FF17EE">
        <w:tc>
          <w:tcPr>
            <w:tcW w:w="9205" w:type="dxa"/>
            <w:gridSpan w:val="2"/>
            <w:tcBorders>
              <w:top w:val="nil"/>
              <w:left w:val="nil"/>
              <w:bottom w:val="nil"/>
              <w:right w:val="nil"/>
            </w:tcBorders>
            <w:shd w:val="clear" w:color="auto" w:fill="215868" w:themeFill="accent5" w:themeFillShade="80"/>
            <w:vAlign w:val="center"/>
            <w:hideMark/>
          </w:tcPr>
          <w:p w:rsidR="00037883" w:rsidRDefault="00037883" w:rsidP="00FF17EE">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037883" w:rsidTr="00FF17E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037883" w:rsidRDefault="00037883" w:rsidP="00FF17EE">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037883" w:rsidRDefault="00037883" w:rsidP="00FF17EE">
            <w:pPr>
              <w:spacing w:line="276" w:lineRule="auto"/>
              <w:rPr>
                <w:rFonts w:asciiTheme="minorHAnsi" w:hAnsiTheme="minorHAnsi"/>
              </w:rPr>
            </w:pPr>
          </w:p>
        </w:tc>
      </w:tr>
      <w:tr w:rsidR="00037883"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7883" w:rsidRDefault="00037883" w:rsidP="00FF17EE">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037883" w:rsidRDefault="00037883" w:rsidP="00FF17EE">
            <w:pPr>
              <w:spacing w:line="276" w:lineRule="auto"/>
              <w:rPr>
                <w:rFonts w:asciiTheme="minorHAnsi" w:hAnsiTheme="minorHAnsi"/>
              </w:rPr>
            </w:pPr>
            <w:r>
              <w:rPr>
                <w:rFonts w:asciiTheme="minorHAnsi" w:hAnsiTheme="minorHAnsi"/>
              </w:rPr>
              <w:t>CAU/MG</w:t>
            </w:r>
          </w:p>
        </w:tc>
      </w:tr>
      <w:tr w:rsidR="00037883"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7883" w:rsidRDefault="00037883" w:rsidP="00FF17EE">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037883" w:rsidRPr="00286147" w:rsidRDefault="00037883" w:rsidP="00037883">
            <w:pPr>
              <w:jc w:val="both"/>
              <w:rPr>
                <w:rFonts w:asciiTheme="minorHAnsi" w:hAnsiTheme="minorHAnsi"/>
              </w:rPr>
            </w:pPr>
            <w:r w:rsidRPr="00037883">
              <w:rPr>
                <w:rFonts w:asciiTheme="minorHAnsi" w:hAnsiTheme="minorHAnsi"/>
              </w:rPr>
              <w:t>Revisão da Portaria nº 98, que trata das representações do CAU/MG</w:t>
            </w:r>
            <w:r>
              <w:rPr>
                <w:rFonts w:asciiTheme="minorHAnsi" w:hAnsiTheme="minorHAnsi"/>
                <w:b/>
              </w:rPr>
              <w:t>.</w:t>
            </w:r>
          </w:p>
        </w:tc>
      </w:tr>
      <w:tr w:rsidR="00037883" w:rsidTr="00FF17EE">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037883" w:rsidRPr="00933C70" w:rsidRDefault="00037883" w:rsidP="00FF17EE">
            <w:pPr>
              <w:spacing w:line="276" w:lineRule="auto"/>
              <w:jc w:val="center"/>
              <w:rPr>
                <w:rFonts w:asciiTheme="minorHAnsi" w:hAnsiTheme="minorHAnsi"/>
                <w:b/>
                <w:sz w:val="16"/>
                <w:szCs w:val="16"/>
              </w:rPr>
            </w:pPr>
          </w:p>
        </w:tc>
      </w:tr>
      <w:tr w:rsidR="00037883" w:rsidTr="00FF17E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037883" w:rsidRDefault="00037883" w:rsidP="00922460">
            <w:pPr>
              <w:spacing w:line="276" w:lineRule="auto"/>
              <w:jc w:val="center"/>
              <w:rPr>
                <w:rFonts w:asciiTheme="minorHAnsi" w:hAnsiTheme="minorHAnsi"/>
                <w:b/>
              </w:rPr>
            </w:pPr>
            <w:r>
              <w:rPr>
                <w:rFonts w:asciiTheme="minorHAnsi" w:hAnsiTheme="minorHAnsi"/>
                <w:b/>
              </w:rPr>
              <w:t>DELIBERAÇÃO Nº 03</w:t>
            </w:r>
            <w:r w:rsidR="00922460">
              <w:rPr>
                <w:rFonts w:asciiTheme="minorHAnsi" w:hAnsiTheme="minorHAnsi"/>
                <w:b/>
              </w:rPr>
              <w:t>5</w:t>
            </w:r>
            <w:bookmarkStart w:id="0" w:name="_GoBack"/>
            <w:bookmarkEnd w:id="0"/>
            <w:r>
              <w:rPr>
                <w:rFonts w:asciiTheme="minorHAnsi" w:hAnsiTheme="minorHAnsi"/>
                <w:b/>
              </w:rPr>
              <w:t>/2015 – CD-CAU/MG</w:t>
            </w:r>
          </w:p>
        </w:tc>
      </w:tr>
    </w:tbl>
    <w:p w:rsidR="00037883" w:rsidRDefault="00037883" w:rsidP="00037883">
      <w:pPr>
        <w:jc w:val="both"/>
        <w:rPr>
          <w:rFonts w:ascii="Arial Narrow" w:hAnsi="Arial Narrow"/>
        </w:rPr>
      </w:pPr>
    </w:p>
    <w:p w:rsidR="00037883" w:rsidRDefault="00037883" w:rsidP="00037883">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037883" w:rsidRPr="00C34E57" w:rsidRDefault="00037883" w:rsidP="007435AF">
      <w:pPr>
        <w:jc w:val="both"/>
        <w:rPr>
          <w:rFonts w:ascii="Arial Narrow" w:hAnsi="Arial Narrow"/>
          <w:sz w:val="16"/>
          <w:szCs w:val="16"/>
        </w:rPr>
      </w:pPr>
    </w:p>
    <w:p w:rsidR="003E762A" w:rsidRDefault="00037883" w:rsidP="007435AF">
      <w:pPr>
        <w:jc w:val="both"/>
        <w:rPr>
          <w:rFonts w:asciiTheme="minorHAnsi" w:hAnsiTheme="minorHAnsi"/>
        </w:rPr>
      </w:pPr>
      <w:r w:rsidRPr="00C34E57">
        <w:rPr>
          <w:rFonts w:asciiTheme="minorHAnsi" w:hAnsiTheme="minorHAnsi"/>
          <w:b/>
        </w:rPr>
        <w:t>Considerando</w:t>
      </w:r>
      <w:r>
        <w:rPr>
          <w:rFonts w:asciiTheme="minorHAnsi" w:hAnsiTheme="minorHAnsi"/>
        </w:rPr>
        <w:t xml:space="preserve"> a Portaria nº 98, de </w:t>
      </w:r>
      <w:r w:rsidR="00C34E57">
        <w:rPr>
          <w:rFonts w:asciiTheme="minorHAnsi" w:hAnsiTheme="minorHAnsi"/>
        </w:rPr>
        <w:t>18 de maio de 2015</w:t>
      </w:r>
      <w:r>
        <w:rPr>
          <w:rFonts w:asciiTheme="minorHAnsi" w:hAnsiTheme="minorHAnsi"/>
        </w:rPr>
        <w:t>, do CAU/MG</w:t>
      </w:r>
      <w:r w:rsidR="00C34E57">
        <w:rPr>
          <w:rFonts w:asciiTheme="minorHAnsi" w:hAnsiTheme="minorHAnsi"/>
        </w:rPr>
        <w:t>, que altera a Portaria 83, de 18 de março de 2015, do CAU/MG;</w:t>
      </w:r>
      <w:r>
        <w:rPr>
          <w:rFonts w:asciiTheme="minorHAnsi" w:hAnsiTheme="minorHAnsi"/>
        </w:rPr>
        <w:t xml:space="preserve"> </w:t>
      </w:r>
    </w:p>
    <w:p w:rsidR="00037883" w:rsidRDefault="00037883" w:rsidP="007435AF">
      <w:pPr>
        <w:jc w:val="both"/>
        <w:rPr>
          <w:rFonts w:asciiTheme="minorHAnsi" w:hAnsiTheme="minorHAnsi"/>
        </w:rPr>
      </w:pPr>
    </w:p>
    <w:p w:rsidR="000943A4" w:rsidRPr="00772DA6" w:rsidRDefault="000943A4" w:rsidP="007435AF">
      <w:pPr>
        <w:jc w:val="both"/>
        <w:rPr>
          <w:rFonts w:asciiTheme="minorHAnsi" w:hAnsiTheme="minorHAnsi"/>
          <w:b/>
        </w:rPr>
      </w:pPr>
      <w:r w:rsidRPr="00772DA6">
        <w:rPr>
          <w:rFonts w:asciiTheme="minorHAnsi" w:hAnsiTheme="minorHAnsi"/>
          <w:b/>
        </w:rPr>
        <w:t>DELIBER</w:t>
      </w:r>
      <w:r w:rsidR="00C34E57">
        <w:rPr>
          <w:rFonts w:asciiTheme="minorHAnsi" w:hAnsiTheme="minorHAnsi"/>
          <w:b/>
        </w:rPr>
        <w:t>OU:</w:t>
      </w:r>
    </w:p>
    <w:p w:rsidR="003E762A" w:rsidRPr="00087F2D" w:rsidRDefault="003E762A" w:rsidP="007435AF">
      <w:pPr>
        <w:jc w:val="both"/>
        <w:rPr>
          <w:rFonts w:asciiTheme="minorHAnsi" w:hAnsiTheme="minorHAnsi"/>
        </w:rPr>
      </w:pPr>
    </w:p>
    <w:p w:rsidR="006423D0" w:rsidRPr="009D6FBE" w:rsidRDefault="009D6FBE" w:rsidP="009D6FBE">
      <w:pPr>
        <w:jc w:val="both"/>
        <w:rPr>
          <w:rFonts w:asciiTheme="minorHAnsi" w:hAnsiTheme="minorHAnsi"/>
        </w:rPr>
      </w:pPr>
      <w:r w:rsidRPr="00587527">
        <w:rPr>
          <w:rFonts w:asciiTheme="minorHAnsi" w:hAnsiTheme="minorHAnsi"/>
          <w:b/>
        </w:rPr>
        <w:t>Art. 1º</w:t>
      </w:r>
      <w:r>
        <w:rPr>
          <w:rFonts w:asciiTheme="minorHAnsi" w:hAnsiTheme="minorHAnsi"/>
        </w:rPr>
        <w:t xml:space="preserve"> </w:t>
      </w:r>
      <w:r w:rsidR="00087F2D">
        <w:rPr>
          <w:rFonts w:asciiTheme="minorHAnsi" w:hAnsiTheme="minorHAnsi"/>
        </w:rPr>
        <w:t xml:space="preserve">Encaminhar </w:t>
      </w:r>
      <w:r w:rsidR="006423D0">
        <w:rPr>
          <w:rFonts w:asciiTheme="minorHAnsi" w:hAnsiTheme="minorHAnsi"/>
        </w:rPr>
        <w:t xml:space="preserve">à Gerência Jurídica </w:t>
      </w:r>
      <w:r w:rsidR="00087F2D">
        <w:rPr>
          <w:rFonts w:asciiTheme="minorHAnsi" w:hAnsiTheme="minorHAnsi"/>
        </w:rPr>
        <w:t xml:space="preserve">a solicitação da Conselheira Marília Palhares Machado de </w:t>
      </w:r>
      <w:r w:rsidR="006423D0">
        <w:rPr>
          <w:rFonts w:asciiTheme="minorHAnsi" w:hAnsiTheme="minorHAnsi"/>
        </w:rPr>
        <w:t>revisão</w:t>
      </w:r>
      <w:r w:rsidRPr="009D6FBE">
        <w:rPr>
          <w:rFonts w:asciiTheme="minorHAnsi" w:hAnsiTheme="minorHAnsi"/>
        </w:rPr>
        <w:t xml:space="preserve"> </w:t>
      </w:r>
      <w:r w:rsidR="006423D0">
        <w:rPr>
          <w:rFonts w:asciiTheme="minorHAnsi" w:hAnsiTheme="minorHAnsi"/>
        </w:rPr>
        <w:t>d</w:t>
      </w:r>
      <w:r w:rsidRPr="009D6FBE">
        <w:rPr>
          <w:rFonts w:asciiTheme="minorHAnsi" w:hAnsiTheme="minorHAnsi"/>
        </w:rPr>
        <w:t>a Portaria nº 98, do CAU/MG, que trata sobre as representações do Conselho</w:t>
      </w:r>
      <w:r w:rsidR="0009586E">
        <w:rPr>
          <w:rFonts w:asciiTheme="minorHAnsi" w:hAnsiTheme="minorHAnsi"/>
        </w:rPr>
        <w:t>,</w:t>
      </w:r>
      <w:r w:rsidRPr="009D6FBE">
        <w:rPr>
          <w:rFonts w:asciiTheme="minorHAnsi" w:hAnsiTheme="minorHAnsi"/>
        </w:rPr>
        <w:t xml:space="preserve"> no sentido de especificar </w:t>
      </w:r>
      <w:r>
        <w:rPr>
          <w:rFonts w:asciiTheme="minorHAnsi" w:hAnsiTheme="minorHAnsi"/>
        </w:rPr>
        <w:t xml:space="preserve">as situações </w:t>
      </w:r>
      <w:r w:rsidR="00775AD4">
        <w:rPr>
          <w:rFonts w:asciiTheme="minorHAnsi" w:hAnsiTheme="minorHAnsi"/>
        </w:rPr>
        <w:t>e os períodos de disponibilidade que</w:t>
      </w:r>
      <w:r>
        <w:rPr>
          <w:rFonts w:asciiTheme="minorHAnsi" w:hAnsiTheme="minorHAnsi"/>
        </w:rPr>
        <w:t xml:space="preserve"> </w:t>
      </w:r>
      <w:r w:rsidR="00775AD4">
        <w:rPr>
          <w:rFonts w:asciiTheme="minorHAnsi" w:hAnsiTheme="minorHAnsi"/>
        </w:rPr>
        <w:t>se enquadram ne</w:t>
      </w:r>
      <w:r>
        <w:rPr>
          <w:rFonts w:asciiTheme="minorHAnsi" w:hAnsiTheme="minorHAnsi"/>
        </w:rPr>
        <w:t xml:space="preserve">ssa forma de participação </w:t>
      </w:r>
      <w:r w:rsidR="00775AD4">
        <w:rPr>
          <w:rFonts w:asciiTheme="minorHAnsi" w:hAnsiTheme="minorHAnsi"/>
        </w:rPr>
        <w:t>em eventos externos.</w:t>
      </w:r>
      <w:r w:rsidR="006423D0">
        <w:rPr>
          <w:rFonts w:asciiTheme="minorHAnsi" w:hAnsiTheme="minorHAnsi"/>
        </w:rPr>
        <w:t xml:space="preserve"> </w:t>
      </w:r>
    </w:p>
    <w:p w:rsidR="008455C5" w:rsidRPr="00087F2D" w:rsidRDefault="008455C5" w:rsidP="009D6FBE">
      <w:pPr>
        <w:jc w:val="both"/>
        <w:rPr>
          <w:rFonts w:asciiTheme="minorHAnsi" w:hAnsiTheme="minorHAnsi"/>
        </w:rPr>
      </w:pPr>
    </w:p>
    <w:p w:rsidR="00772DA6" w:rsidRPr="009D6FBE" w:rsidRDefault="009D6FBE" w:rsidP="009D6FBE">
      <w:pPr>
        <w:jc w:val="both"/>
        <w:rPr>
          <w:rFonts w:asciiTheme="minorHAnsi" w:hAnsiTheme="minorHAnsi"/>
        </w:rPr>
      </w:pPr>
      <w:r w:rsidRPr="00587527">
        <w:rPr>
          <w:rFonts w:asciiTheme="minorHAnsi" w:hAnsiTheme="minorHAnsi"/>
          <w:b/>
        </w:rPr>
        <w:t>Art. 2º</w:t>
      </w:r>
      <w:r>
        <w:rPr>
          <w:rFonts w:asciiTheme="minorHAnsi" w:hAnsiTheme="minorHAnsi"/>
        </w:rPr>
        <w:t xml:space="preserve"> </w:t>
      </w:r>
      <w:r w:rsidR="00772DA6" w:rsidRPr="009D6FBE">
        <w:rPr>
          <w:rFonts w:asciiTheme="minorHAnsi" w:hAnsiTheme="minorHAnsi"/>
        </w:rPr>
        <w:t xml:space="preserve">Esta deliberação </w:t>
      </w:r>
      <w:r w:rsidRPr="009D6FBE">
        <w:rPr>
          <w:rFonts w:asciiTheme="minorHAnsi" w:hAnsiTheme="minorHAnsi"/>
        </w:rPr>
        <w:t>entra em vigor nesta data.</w:t>
      </w:r>
    </w:p>
    <w:p w:rsidR="000943A4" w:rsidRDefault="000943A4" w:rsidP="009D6FBE">
      <w:pPr>
        <w:pStyle w:val="PargrafodaLista"/>
        <w:ind w:left="360"/>
        <w:jc w:val="both"/>
        <w:rPr>
          <w:rFonts w:asciiTheme="minorHAnsi" w:hAnsiTheme="minorHAnsi"/>
        </w:rPr>
      </w:pPr>
    </w:p>
    <w:p w:rsidR="000943A4" w:rsidRDefault="000943A4" w:rsidP="000943A4">
      <w:pPr>
        <w:jc w:val="center"/>
        <w:rPr>
          <w:rFonts w:asciiTheme="minorHAnsi" w:hAnsiTheme="minorHAnsi"/>
        </w:rPr>
      </w:pPr>
      <w:r>
        <w:rPr>
          <w:rFonts w:asciiTheme="minorHAnsi" w:hAnsiTheme="minorHAnsi"/>
        </w:rPr>
        <w:t>Belo Horizonte, 18 de maio de 2015.</w:t>
      </w:r>
    </w:p>
    <w:p w:rsidR="000943A4" w:rsidRDefault="000943A4" w:rsidP="000943A4">
      <w:pPr>
        <w:jc w:val="center"/>
        <w:rPr>
          <w:rFonts w:asciiTheme="minorHAnsi" w:hAnsiTheme="minorHAnsi"/>
        </w:rPr>
      </w:pPr>
    </w:p>
    <w:p w:rsidR="000943A4" w:rsidRDefault="000943A4" w:rsidP="000943A4">
      <w:pPr>
        <w:jc w:val="center"/>
        <w:rPr>
          <w:rFonts w:asciiTheme="minorHAnsi" w:hAnsiTheme="minorHAnsi"/>
        </w:rPr>
      </w:pPr>
    </w:p>
    <w:p w:rsidR="000943A4" w:rsidRDefault="000943A4" w:rsidP="000943A4">
      <w:pPr>
        <w:jc w:val="center"/>
        <w:rPr>
          <w:rFonts w:asciiTheme="minorHAnsi" w:hAnsiTheme="minorHAnsi"/>
        </w:rPr>
      </w:pPr>
    </w:p>
    <w:p w:rsidR="00C34E57" w:rsidRDefault="00C34E57" w:rsidP="00C34E57">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C34E57" w:rsidRPr="00CC4707" w:rsidRDefault="00C34E57" w:rsidP="00C34E57">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C34E57" w:rsidRDefault="00C34E57" w:rsidP="00C34E57">
      <w:pPr>
        <w:rPr>
          <w:rFonts w:asciiTheme="minorHAnsi" w:hAnsiTheme="minorHAnsi"/>
          <w:b/>
        </w:rPr>
      </w:pPr>
    </w:p>
    <w:p w:rsidR="00C34E57" w:rsidRDefault="00C34E57" w:rsidP="00C34E57">
      <w:pPr>
        <w:rPr>
          <w:rFonts w:asciiTheme="minorHAnsi" w:hAnsiTheme="minorHAnsi"/>
          <w:b/>
        </w:rPr>
      </w:pPr>
    </w:p>
    <w:p w:rsidR="00C34E57" w:rsidRDefault="00C34E57" w:rsidP="00C34E57">
      <w:pPr>
        <w:rPr>
          <w:rFonts w:asciiTheme="minorHAnsi" w:hAnsiTheme="minorHAnsi"/>
          <w:b/>
        </w:rPr>
      </w:pPr>
    </w:p>
    <w:p w:rsidR="00C34E57" w:rsidRDefault="00C34E57" w:rsidP="00C34E57">
      <w:pPr>
        <w:jc w:val="both"/>
        <w:rPr>
          <w:rFonts w:asciiTheme="minorHAnsi" w:hAnsiTheme="minorHAnsi"/>
        </w:rPr>
      </w:pPr>
      <w:r>
        <w:rPr>
          <w:rFonts w:asciiTheme="minorHAnsi" w:hAnsiTheme="minorHAnsi"/>
        </w:rPr>
        <w:t>Marília Palhares Machado                                            Mauro Santoro Campello</w:t>
      </w:r>
    </w:p>
    <w:p w:rsidR="00C34E57" w:rsidRDefault="00C34E57" w:rsidP="00C34E57">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34E57" w:rsidRDefault="00C34E57" w:rsidP="00C34E57">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34E57" w:rsidRDefault="00C34E57" w:rsidP="00C34E57">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C34E57" w:rsidRDefault="00C34E57" w:rsidP="00C34E57">
      <w:pPr>
        <w:jc w:val="both"/>
        <w:rPr>
          <w:rFonts w:asciiTheme="minorHAnsi" w:hAnsiTheme="minorHAnsi"/>
        </w:rPr>
      </w:pPr>
      <w:r>
        <w:rPr>
          <w:rFonts w:asciiTheme="minorHAnsi" w:hAnsiTheme="minorHAnsi"/>
        </w:rPr>
        <w:t>Rose Meire Romano                                                      Vera Therezinha de Almeida. O. Santos</w:t>
      </w:r>
    </w:p>
    <w:p w:rsidR="00166E8E" w:rsidRDefault="00C34E57" w:rsidP="00C34E57">
      <w:pPr>
        <w:jc w:val="both"/>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Coordenadora da COA-CAU/MG</w:t>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p>
    <w:p w:rsidR="00166E8E" w:rsidRDefault="00166E8E" w:rsidP="007435AF">
      <w:pPr>
        <w:jc w:val="both"/>
        <w:rPr>
          <w:rFonts w:asciiTheme="minorHAnsi" w:hAnsiTheme="minorHAnsi"/>
        </w:rPr>
      </w:pPr>
    </w:p>
    <w:p w:rsidR="00166E8E" w:rsidRDefault="00166E8E" w:rsidP="007435AF">
      <w:pPr>
        <w:jc w:val="both"/>
        <w:rPr>
          <w:rFonts w:asciiTheme="minorHAnsi" w:hAnsiTheme="minorHAnsi"/>
        </w:rPr>
      </w:pPr>
    </w:p>
    <w:p w:rsidR="00087F2D" w:rsidRDefault="00166E8E" w:rsidP="00166E8E">
      <w:pPr>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r>
    </w:p>
    <w:p w:rsidR="00087F2D" w:rsidRDefault="00087F2D" w:rsidP="00087F2D">
      <w:pPr>
        <w:jc w:val="center"/>
        <w:rPr>
          <w:rFonts w:asciiTheme="minorHAnsi" w:hAnsiTheme="minorHAnsi"/>
        </w:rPr>
      </w:pPr>
    </w:p>
    <w:p w:rsidR="00166E8E" w:rsidRPr="00147EAE" w:rsidRDefault="00166E8E" w:rsidP="00087F2D">
      <w:pPr>
        <w:jc w:val="center"/>
        <w:rPr>
          <w:rFonts w:asciiTheme="minorHAnsi" w:hAnsiTheme="minorHAnsi"/>
          <w:b/>
          <w:sz w:val="28"/>
          <w:szCs w:val="28"/>
        </w:rPr>
      </w:pPr>
      <w:r w:rsidRPr="00147EAE">
        <w:rPr>
          <w:rFonts w:asciiTheme="minorHAnsi" w:hAnsiTheme="minorHAnsi"/>
          <w:b/>
          <w:sz w:val="28"/>
          <w:szCs w:val="28"/>
        </w:rPr>
        <w:t>PORTARIA Nº 98, DE 18 DE MAIO DE 2015</w:t>
      </w:r>
      <w:r w:rsidR="00147EAE">
        <w:rPr>
          <w:rFonts w:asciiTheme="minorHAnsi" w:hAnsiTheme="minorHAnsi"/>
          <w:b/>
          <w:sz w:val="28"/>
          <w:szCs w:val="28"/>
        </w:rPr>
        <w:t>.</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p>
    <w:p w:rsidR="00166E8E" w:rsidRPr="00147EAE" w:rsidRDefault="00166E8E" w:rsidP="00147EAE">
      <w:pPr>
        <w:ind w:left="3540"/>
        <w:jc w:val="right"/>
        <w:rPr>
          <w:rFonts w:asciiTheme="minorHAnsi" w:hAnsiTheme="minorHAnsi"/>
        </w:rPr>
      </w:pPr>
      <w:r w:rsidRPr="00147EAE">
        <w:rPr>
          <w:rFonts w:asciiTheme="minorHAnsi" w:hAnsiTheme="minorHAnsi"/>
        </w:rPr>
        <w:t>Altera a Portaria nº 83, de 18 de março de 2015.</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r w:rsidRPr="00147EAE">
        <w:rPr>
          <w:rFonts w:asciiTheme="minorHAnsi" w:hAnsiTheme="minorHAnsi"/>
        </w:rPr>
        <w:t xml:space="preserve">O Presidente em exercício do Conselho de Arquitetura e Urbanismo de Minas Gerais – CAU/MG, no uso de suas atribuições legais constantes da Lei 12.378/2010, regimentais que lhe conferem o art. 64, inciso I, do Regimento Interno aprovado pela Deliberação Plenária nº 190/2014 do CAU/MG e </w:t>
      </w:r>
      <w:proofErr w:type="gramStart"/>
      <w:r w:rsidRPr="00147EAE">
        <w:rPr>
          <w:rFonts w:asciiTheme="minorHAnsi" w:hAnsiTheme="minorHAnsi"/>
        </w:rPr>
        <w:t>homologado pela Deliberação Plenária</w:t>
      </w:r>
      <w:proofErr w:type="gramEnd"/>
      <w:r w:rsidRPr="00147EAE">
        <w:rPr>
          <w:rFonts w:asciiTheme="minorHAnsi" w:hAnsiTheme="minorHAnsi"/>
        </w:rPr>
        <w:t xml:space="preserve"> nº DPABR 0037-03/2014 do Conselho de Arquitetura e Urbanismo do Brasil – CAU/BR, nos termos do art. 28, V, da Lei 12.378/2010, e observado o disposto na Portaria nº 97, de 11 de maio de 2015 que dispõe sobre a substituição da Presidente do CAU/MG em período determinado;</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b/>
        </w:rPr>
      </w:pPr>
      <w:r w:rsidRPr="00147EAE">
        <w:rPr>
          <w:rFonts w:asciiTheme="minorHAnsi" w:hAnsiTheme="minorHAnsi"/>
          <w:b/>
        </w:rPr>
        <w:t>RESOLVE:</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r w:rsidRPr="00147EAE">
        <w:rPr>
          <w:rFonts w:asciiTheme="minorHAnsi" w:hAnsiTheme="minorHAnsi"/>
        </w:rPr>
        <w:t>Art. 1º O art. 2º § 1º da Portaria nº 83, de 18 de março de 2015 passa a constar com a seguinte redação:</w:t>
      </w:r>
    </w:p>
    <w:p w:rsidR="00166E8E" w:rsidRPr="00147EAE" w:rsidRDefault="00166E8E" w:rsidP="00166E8E">
      <w:pPr>
        <w:jc w:val="both"/>
        <w:rPr>
          <w:rFonts w:asciiTheme="minorHAnsi" w:hAnsiTheme="minorHAnsi"/>
        </w:rPr>
      </w:pPr>
    </w:p>
    <w:p w:rsidR="00166E8E" w:rsidRPr="00147EAE" w:rsidRDefault="00166E8E" w:rsidP="00166E8E">
      <w:pPr>
        <w:ind w:left="1418"/>
        <w:jc w:val="both"/>
        <w:rPr>
          <w:rFonts w:asciiTheme="minorHAnsi" w:hAnsiTheme="minorHAnsi"/>
        </w:rPr>
      </w:pPr>
      <w:r w:rsidRPr="00147EAE">
        <w:rPr>
          <w:rFonts w:asciiTheme="minorHAnsi" w:hAnsiTheme="minorHAnsi"/>
        </w:rPr>
        <w:t>§ 1º O valor constante no inciso IV deste artigo é devido apenas quando da ocorrência de reuniões plenárias, reuniões do Conselho Diretor e reuniões das Comissões, tendo em vista corresponder a menos da metade daquele previsto no art. 2º, II, III e V desta Portaria, observando-se assim o disposto no art. 6º da Resolução nº 47, de 09 de maio de 2013</w:t>
      </w:r>
      <w:r w:rsidR="00C34E57">
        <w:rPr>
          <w:rFonts w:asciiTheme="minorHAnsi" w:hAnsiTheme="minorHAnsi"/>
        </w:rPr>
        <w:t>,</w:t>
      </w:r>
      <w:r w:rsidRPr="00147EAE">
        <w:rPr>
          <w:rFonts w:asciiTheme="minorHAnsi" w:hAnsiTheme="minorHAnsi"/>
        </w:rPr>
        <w:t xml:space="preserve"> do Conselho de Arquitetura e Urbanismo do Brasil – CAU/BR.</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r w:rsidRPr="00147EAE">
        <w:rPr>
          <w:rFonts w:asciiTheme="minorHAnsi" w:hAnsiTheme="minorHAnsi"/>
        </w:rPr>
        <w:t>Art. 2º Revoga-se a Portaria nº 94, de 07 de maio de 2015.</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r w:rsidRPr="00147EAE">
        <w:rPr>
          <w:rFonts w:asciiTheme="minorHAnsi" w:hAnsiTheme="minorHAnsi"/>
        </w:rPr>
        <w:t>Art. 3º Esta portaria entra em vigor nesta data.</w:t>
      </w:r>
    </w:p>
    <w:p w:rsidR="00166E8E" w:rsidRPr="00147EAE" w:rsidRDefault="00166E8E" w:rsidP="00166E8E">
      <w:pPr>
        <w:jc w:val="center"/>
        <w:rPr>
          <w:rFonts w:asciiTheme="minorHAnsi" w:hAnsiTheme="minorHAnsi"/>
        </w:rPr>
      </w:pPr>
    </w:p>
    <w:p w:rsidR="00166E8E" w:rsidRPr="00147EAE" w:rsidRDefault="00166E8E" w:rsidP="00166E8E">
      <w:pPr>
        <w:jc w:val="center"/>
        <w:rPr>
          <w:rFonts w:asciiTheme="minorHAnsi" w:hAnsiTheme="minorHAnsi"/>
        </w:rPr>
      </w:pPr>
      <w:r w:rsidRPr="00147EAE">
        <w:rPr>
          <w:rFonts w:asciiTheme="minorHAnsi" w:hAnsiTheme="minorHAnsi"/>
        </w:rPr>
        <w:t>Belo Horizonte, 18 de maio de 2015.</w:t>
      </w:r>
    </w:p>
    <w:p w:rsidR="00166E8E" w:rsidRPr="00147EAE" w:rsidRDefault="00166E8E" w:rsidP="00166E8E">
      <w:pPr>
        <w:jc w:val="both"/>
        <w:rPr>
          <w:rFonts w:asciiTheme="minorHAnsi" w:hAnsiTheme="minorHAnsi"/>
        </w:rPr>
      </w:pPr>
    </w:p>
    <w:p w:rsidR="00166E8E" w:rsidRPr="00147EAE" w:rsidRDefault="00166E8E" w:rsidP="00166E8E">
      <w:pPr>
        <w:jc w:val="both"/>
        <w:rPr>
          <w:rFonts w:asciiTheme="minorHAnsi" w:hAnsiTheme="minorHAnsi"/>
        </w:rPr>
      </w:pPr>
    </w:p>
    <w:p w:rsidR="00166E8E" w:rsidRPr="00147EAE" w:rsidRDefault="00166E8E" w:rsidP="00166E8E">
      <w:pPr>
        <w:jc w:val="center"/>
        <w:rPr>
          <w:rFonts w:asciiTheme="minorHAnsi" w:hAnsiTheme="minorHAnsi"/>
          <w:b/>
        </w:rPr>
      </w:pPr>
      <w:r w:rsidRPr="00147EAE">
        <w:rPr>
          <w:rFonts w:asciiTheme="minorHAnsi" w:hAnsiTheme="minorHAnsi"/>
          <w:b/>
        </w:rPr>
        <w:t>Júlio César De Marco</w:t>
      </w:r>
    </w:p>
    <w:p w:rsidR="00166E8E" w:rsidRPr="00147EAE" w:rsidRDefault="00166E8E" w:rsidP="00166E8E">
      <w:pPr>
        <w:jc w:val="center"/>
        <w:rPr>
          <w:rFonts w:asciiTheme="minorHAnsi" w:hAnsiTheme="minorHAnsi"/>
          <w:szCs w:val="20"/>
        </w:rPr>
      </w:pPr>
      <w:r w:rsidRPr="00147EAE">
        <w:rPr>
          <w:rFonts w:asciiTheme="minorHAnsi" w:hAnsiTheme="minorHAnsi"/>
          <w:b/>
        </w:rPr>
        <w:t>Presidente em exercício do CAU/MG</w:t>
      </w:r>
    </w:p>
    <w:p w:rsidR="00D62024" w:rsidRPr="00147EAE" w:rsidRDefault="00D62024" w:rsidP="007435AF">
      <w:pPr>
        <w:jc w:val="both"/>
        <w:rPr>
          <w:rFonts w:asciiTheme="minorHAnsi" w:hAnsiTheme="minorHAnsi"/>
        </w:rPr>
      </w:pPr>
    </w:p>
    <w:sectPr w:rsidR="00D62024" w:rsidRPr="00147EAE"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10" w:rsidRDefault="00934810" w:rsidP="00EE4FDD">
      <w:r>
        <w:separator/>
      </w:r>
    </w:p>
  </w:endnote>
  <w:endnote w:type="continuationSeparator" w:id="0">
    <w:p w:rsidR="00934810" w:rsidRDefault="00934810"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10" w:rsidRDefault="00934810" w:rsidP="00EE4FDD">
      <w:r>
        <w:separator/>
      </w:r>
    </w:p>
  </w:footnote>
  <w:footnote w:type="continuationSeparator" w:id="0">
    <w:p w:rsidR="00934810" w:rsidRDefault="00934810"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9224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9224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5.35pt;margin-top:-84.7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9224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AA4"/>
    <w:rsid w:val="000218BC"/>
    <w:rsid w:val="00031AB9"/>
    <w:rsid w:val="000350F9"/>
    <w:rsid w:val="00037883"/>
    <w:rsid w:val="000607C0"/>
    <w:rsid w:val="00084FA7"/>
    <w:rsid w:val="00087F2D"/>
    <w:rsid w:val="00094156"/>
    <w:rsid w:val="000943A4"/>
    <w:rsid w:val="0009586E"/>
    <w:rsid w:val="000A6F90"/>
    <w:rsid w:val="000D67B1"/>
    <w:rsid w:val="000E71C7"/>
    <w:rsid w:val="0011493D"/>
    <w:rsid w:val="00122EB7"/>
    <w:rsid w:val="0014109E"/>
    <w:rsid w:val="00146DD2"/>
    <w:rsid w:val="00147EAE"/>
    <w:rsid w:val="00166E8E"/>
    <w:rsid w:val="00167101"/>
    <w:rsid w:val="00172E85"/>
    <w:rsid w:val="00193B23"/>
    <w:rsid w:val="001B3BED"/>
    <w:rsid w:val="001E3D80"/>
    <w:rsid w:val="001E4250"/>
    <w:rsid w:val="00216818"/>
    <w:rsid w:val="002177EE"/>
    <w:rsid w:val="0022760A"/>
    <w:rsid w:val="0024288F"/>
    <w:rsid w:val="00262CC1"/>
    <w:rsid w:val="00263523"/>
    <w:rsid w:val="002654CD"/>
    <w:rsid w:val="002B5C79"/>
    <w:rsid w:val="002C79CB"/>
    <w:rsid w:val="002F0AFA"/>
    <w:rsid w:val="003000F1"/>
    <w:rsid w:val="00302702"/>
    <w:rsid w:val="00327759"/>
    <w:rsid w:val="00376896"/>
    <w:rsid w:val="003B48F8"/>
    <w:rsid w:val="003D0BF8"/>
    <w:rsid w:val="003E5A27"/>
    <w:rsid w:val="003E762A"/>
    <w:rsid w:val="003F398C"/>
    <w:rsid w:val="0040334A"/>
    <w:rsid w:val="004410D6"/>
    <w:rsid w:val="00441347"/>
    <w:rsid w:val="004458CC"/>
    <w:rsid w:val="0045278B"/>
    <w:rsid w:val="004B4302"/>
    <w:rsid w:val="004C27DC"/>
    <w:rsid w:val="00505A82"/>
    <w:rsid w:val="00526242"/>
    <w:rsid w:val="005427EB"/>
    <w:rsid w:val="005661FF"/>
    <w:rsid w:val="00587527"/>
    <w:rsid w:val="005A1CA3"/>
    <w:rsid w:val="005A6B3B"/>
    <w:rsid w:val="005B2F89"/>
    <w:rsid w:val="005B407C"/>
    <w:rsid w:val="005C1159"/>
    <w:rsid w:val="005F43B9"/>
    <w:rsid w:val="00611D51"/>
    <w:rsid w:val="006127FD"/>
    <w:rsid w:val="006423D0"/>
    <w:rsid w:val="00642FA3"/>
    <w:rsid w:val="00645A32"/>
    <w:rsid w:val="00676B9C"/>
    <w:rsid w:val="006A0E4D"/>
    <w:rsid w:val="006A4DA3"/>
    <w:rsid w:val="006A6E50"/>
    <w:rsid w:val="006B058D"/>
    <w:rsid w:val="006E7531"/>
    <w:rsid w:val="006F3BDA"/>
    <w:rsid w:val="006F7023"/>
    <w:rsid w:val="007228A4"/>
    <w:rsid w:val="00726A60"/>
    <w:rsid w:val="00736A1F"/>
    <w:rsid w:val="00740B04"/>
    <w:rsid w:val="007435AF"/>
    <w:rsid w:val="00753AD5"/>
    <w:rsid w:val="00760BAA"/>
    <w:rsid w:val="007708F4"/>
    <w:rsid w:val="00772DA6"/>
    <w:rsid w:val="00775AD4"/>
    <w:rsid w:val="00792001"/>
    <w:rsid w:val="00792CCB"/>
    <w:rsid w:val="00793553"/>
    <w:rsid w:val="007A6EC2"/>
    <w:rsid w:val="007B1247"/>
    <w:rsid w:val="007B72AA"/>
    <w:rsid w:val="007C1201"/>
    <w:rsid w:val="007D1C96"/>
    <w:rsid w:val="007E3432"/>
    <w:rsid w:val="00812B93"/>
    <w:rsid w:val="00820A01"/>
    <w:rsid w:val="008455C5"/>
    <w:rsid w:val="00855C5A"/>
    <w:rsid w:val="0088037E"/>
    <w:rsid w:val="008945B5"/>
    <w:rsid w:val="008C5361"/>
    <w:rsid w:val="008C7FA9"/>
    <w:rsid w:val="008D600E"/>
    <w:rsid w:val="008E14D5"/>
    <w:rsid w:val="008E5752"/>
    <w:rsid w:val="008E6DBB"/>
    <w:rsid w:val="008F0DD7"/>
    <w:rsid w:val="0091532C"/>
    <w:rsid w:val="00920817"/>
    <w:rsid w:val="00921DDA"/>
    <w:rsid w:val="00922460"/>
    <w:rsid w:val="0093016B"/>
    <w:rsid w:val="00933CE4"/>
    <w:rsid w:val="00934810"/>
    <w:rsid w:val="00952A5B"/>
    <w:rsid w:val="00975D07"/>
    <w:rsid w:val="00977705"/>
    <w:rsid w:val="00997B87"/>
    <w:rsid w:val="009D0220"/>
    <w:rsid w:val="009D6FBE"/>
    <w:rsid w:val="009D7DF3"/>
    <w:rsid w:val="009F1005"/>
    <w:rsid w:val="009F512C"/>
    <w:rsid w:val="00A143AE"/>
    <w:rsid w:val="00A23CE9"/>
    <w:rsid w:val="00A41BCF"/>
    <w:rsid w:val="00A61825"/>
    <w:rsid w:val="00A653CA"/>
    <w:rsid w:val="00A6634A"/>
    <w:rsid w:val="00A723C3"/>
    <w:rsid w:val="00A8495A"/>
    <w:rsid w:val="00A85B5D"/>
    <w:rsid w:val="00AC0FC9"/>
    <w:rsid w:val="00AD3784"/>
    <w:rsid w:val="00AD5879"/>
    <w:rsid w:val="00AE42A5"/>
    <w:rsid w:val="00AF741D"/>
    <w:rsid w:val="00B01217"/>
    <w:rsid w:val="00B25DE3"/>
    <w:rsid w:val="00B27F33"/>
    <w:rsid w:val="00B470E8"/>
    <w:rsid w:val="00B73D50"/>
    <w:rsid w:val="00B762F9"/>
    <w:rsid w:val="00B90743"/>
    <w:rsid w:val="00B93E6F"/>
    <w:rsid w:val="00C066A0"/>
    <w:rsid w:val="00C14B4D"/>
    <w:rsid w:val="00C1579D"/>
    <w:rsid w:val="00C203F2"/>
    <w:rsid w:val="00C3121C"/>
    <w:rsid w:val="00C34E57"/>
    <w:rsid w:val="00C81364"/>
    <w:rsid w:val="00C86F18"/>
    <w:rsid w:val="00C87119"/>
    <w:rsid w:val="00CB6E9F"/>
    <w:rsid w:val="00CD43E6"/>
    <w:rsid w:val="00CD668E"/>
    <w:rsid w:val="00CF7255"/>
    <w:rsid w:val="00D0191C"/>
    <w:rsid w:val="00D43CEB"/>
    <w:rsid w:val="00D62024"/>
    <w:rsid w:val="00D65368"/>
    <w:rsid w:val="00D826DA"/>
    <w:rsid w:val="00D906EB"/>
    <w:rsid w:val="00DA5265"/>
    <w:rsid w:val="00DC2230"/>
    <w:rsid w:val="00DE01FA"/>
    <w:rsid w:val="00DE1BCE"/>
    <w:rsid w:val="00DF4E41"/>
    <w:rsid w:val="00E046EB"/>
    <w:rsid w:val="00E116E7"/>
    <w:rsid w:val="00E55BF0"/>
    <w:rsid w:val="00EA4E43"/>
    <w:rsid w:val="00EB7A50"/>
    <w:rsid w:val="00ED1EFE"/>
    <w:rsid w:val="00ED27A1"/>
    <w:rsid w:val="00EE4CE8"/>
    <w:rsid w:val="00EE4FDD"/>
    <w:rsid w:val="00F11CB3"/>
    <w:rsid w:val="00F338E6"/>
    <w:rsid w:val="00F40195"/>
    <w:rsid w:val="00F50E18"/>
    <w:rsid w:val="00F92E0D"/>
    <w:rsid w:val="00F978BF"/>
    <w:rsid w:val="00FB1D3E"/>
    <w:rsid w:val="00FC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15</cp:revision>
  <cp:lastPrinted>2015-01-16T14:19:00Z</cp:lastPrinted>
  <dcterms:created xsi:type="dcterms:W3CDTF">2015-05-20T19:59:00Z</dcterms:created>
  <dcterms:modified xsi:type="dcterms:W3CDTF">2015-05-29T15:49:00Z</dcterms:modified>
</cp:coreProperties>
</file>