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7A70F9" w:rsidRDefault="007A70F9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B03507" w:rsidRPr="005838B3" w:rsidTr="0015794A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B03507" w:rsidRPr="005838B3" w:rsidRDefault="00B03507" w:rsidP="00157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B03507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507" w:rsidRPr="005838B3" w:rsidRDefault="00B03507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507" w:rsidRPr="005838B3" w:rsidRDefault="00B03507" w:rsidP="0015794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03507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507" w:rsidRPr="005838B3" w:rsidRDefault="00B03507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507" w:rsidRPr="005838B3" w:rsidRDefault="00B03507" w:rsidP="0015794A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B03507" w:rsidRPr="00400296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507" w:rsidRPr="005838B3" w:rsidRDefault="00B03507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507" w:rsidRPr="00B03507" w:rsidRDefault="00B03507" w:rsidP="00B03507">
            <w:pPr>
              <w:jc w:val="both"/>
              <w:rPr>
                <w:rFonts w:asciiTheme="minorHAnsi" w:hAnsiTheme="minorHAnsi"/>
              </w:rPr>
            </w:pPr>
            <w:r w:rsidRPr="00B03507">
              <w:rPr>
                <w:rFonts w:asciiTheme="minorHAnsi" w:hAnsiTheme="minorHAnsi"/>
              </w:rPr>
              <w:t xml:space="preserve">Posicionamento do CAU/MG referente às edições das Decisões Normativas </w:t>
            </w:r>
            <w:proofErr w:type="spellStart"/>
            <w:r w:rsidRPr="00B03507">
              <w:rPr>
                <w:rFonts w:asciiTheme="minorHAnsi" w:hAnsiTheme="minorHAnsi"/>
              </w:rPr>
              <w:t>nºs</w:t>
            </w:r>
            <w:proofErr w:type="spellEnd"/>
            <w:r w:rsidRPr="00B03507">
              <w:rPr>
                <w:rFonts w:asciiTheme="minorHAnsi" w:hAnsiTheme="minorHAnsi"/>
              </w:rPr>
              <w:t xml:space="preserve"> 104, de 29 de outubro de 2014 e 106, de 17 de abril de 2015, ambas do CONFEA.</w:t>
            </w:r>
          </w:p>
        </w:tc>
      </w:tr>
      <w:tr w:rsidR="00B03507" w:rsidRPr="005838B3" w:rsidTr="0015794A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507" w:rsidRPr="00B03507" w:rsidRDefault="00B03507" w:rsidP="0015794A">
            <w:pPr>
              <w:spacing w:line="27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03507" w:rsidRPr="005838B3" w:rsidTr="0015794A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03507" w:rsidRPr="005838B3" w:rsidRDefault="00B03507" w:rsidP="004B588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3</w:t>
            </w:r>
            <w:r w:rsidR="004B5884">
              <w:rPr>
                <w:rFonts w:asciiTheme="minorHAnsi" w:hAnsiTheme="minorHAnsi"/>
                <w:b/>
              </w:rPr>
              <w:t>2</w:t>
            </w:r>
            <w:bookmarkStart w:id="0" w:name="_GoBack"/>
            <w:bookmarkEnd w:id="0"/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B03507" w:rsidRPr="00B03507" w:rsidRDefault="00B03507" w:rsidP="00B03507">
      <w:pPr>
        <w:jc w:val="both"/>
        <w:rPr>
          <w:rFonts w:ascii="Arial Narrow" w:hAnsi="Arial Narrow"/>
          <w:sz w:val="16"/>
          <w:szCs w:val="16"/>
        </w:rPr>
      </w:pPr>
    </w:p>
    <w:p w:rsidR="00B03507" w:rsidRPr="006161C6" w:rsidRDefault="00B03507" w:rsidP="00B03507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4 de maio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B03507" w:rsidRPr="00B03507" w:rsidRDefault="00B03507" w:rsidP="007435AF">
      <w:pPr>
        <w:jc w:val="both"/>
        <w:rPr>
          <w:rFonts w:ascii="Arial Narrow" w:hAnsi="Arial Narrow"/>
          <w:sz w:val="16"/>
          <w:szCs w:val="16"/>
        </w:rPr>
      </w:pPr>
    </w:p>
    <w:p w:rsidR="00FA1378" w:rsidRDefault="00AA5163" w:rsidP="008020A3">
      <w:pPr>
        <w:jc w:val="both"/>
        <w:rPr>
          <w:rFonts w:asciiTheme="minorHAnsi" w:hAnsiTheme="minorHAnsi"/>
        </w:rPr>
      </w:pPr>
      <w:r w:rsidRPr="008020A3">
        <w:rPr>
          <w:rFonts w:asciiTheme="minorHAnsi" w:hAnsiTheme="minorHAnsi"/>
          <w:b/>
        </w:rPr>
        <w:t>Considerando</w:t>
      </w:r>
      <w:r>
        <w:rPr>
          <w:rFonts w:asciiTheme="minorHAnsi" w:hAnsiTheme="minorHAnsi"/>
        </w:rPr>
        <w:t xml:space="preserve"> </w:t>
      </w:r>
      <w:r w:rsidR="002A4C7F">
        <w:rPr>
          <w:rFonts w:asciiTheme="minorHAnsi" w:hAnsiTheme="minorHAnsi"/>
        </w:rPr>
        <w:t>a Decisão Normativa nº 104</w:t>
      </w:r>
      <w:r w:rsidR="00F9127F">
        <w:rPr>
          <w:rFonts w:asciiTheme="minorHAnsi" w:hAnsiTheme="minorHAnsi"/>
        </w:rPr>
        <w:t>, de 29 de outubro de 2014</w:t>
      </w:r>
      <w:r w:rsidR="003C2099">
        <w:rPr>
          <w:rFonts w:asciiTheme="minorHAnsi" w:hAnsiTheme="minorHAnsi"/>
        </w:rPr>
        <w:t>, do CONFEA</w:t>
      </w:r>
      <w:r w:rsidR="000B366D">
        <w:rPr>
          <w:rFonts w:asciiTheme="minorHAnsi" w:hAnsiTheme="minorHAnsi"/>
        </w:rPr>
        <w:t>,</w:t>
      </w:r>
      <w:r w:rsidR="003C2099">
        <w:rPr>
          <w:rFonts w:asciiTheme="minorHAnsi" w:hAnsiTheme="minorHAnsi"/>
        </w:rPr>
        <w:t xml:space="preserve"> que altera o Quadro Anexo da Decisão Normativa nº 47, de 16 de d</w:t>
      </w:r>
      <w:r w:rsidR="000B366D">
        <w:rPr>
          <w:rFonts w:asciiTheme="minorHAnsi" w:hAnsiTheme="minorHAnsi"/>
        </w:rPr>
        <w:t>ezembro de 1992, que dispõe sobre</w:t>
      </w:r>
      <w:r w:rsidR="003C2099">
        <w:rPr>
          <w:rFonts w:asciiTheme="minorHAnsi" w:hAnsiTheme="minorHAnsi"/>
        </w:rPr>
        <w:t xml:space="preserve"> as atividades de parcelamento do solo urbano, as competências para executá-las e dá outras providências. </w:t>
      </w:r>
    </w:p>
    <w:p w:rsidR="000B366D" w:rsidRPr="000B366D" w:rsidRDefault="000B366D" w:rsidP="008020A3">
      <w:pPr>
        <w:jc w:val="both"/>
        <w:rPr>
          <w:rFonts w:asciiTheme="minorHAnsi" w:hAnsiTheme="minorHAnsi"/>
          <w:sz w:val="16"/>
          <w:szCs w:val="16"/>
        </w:rPr>
      </w:pPr>
    </w:p>
    <w:p w:rsidR="000B366D" w:rsidRDefault="000B366D" w:rsidP="000B366D">
      <w:pPr>
        <w:jc w:val="both"/>
        <w:rPr>
          <w:rFonts w:asciiTheme="minorHAnsi" w:hAnsiTheme="minorHAnsi"/>
        </w:rPr>
      </w:pPr>
      <w:r w:rsidRPr="008020A3">
        <w:rPr>
          <w:rFonts w:asciiTheme="minorHAnsi" w:hAnsiTheme="minorHAnsi"/>
          <w:b/>
        </w:rPr>
        <w:t>Considerando</w:t>
      </w:r>
      <w:r>
        <w:rPr>
          <w:rFonts w:asciiTheme="minorHAnsi" w:hAnsiTheme="minorHAnsi"/>
        </w:rPr>
        <w:t xml:space="preserve"> a Decisão Normativa nº 106, de 17 de abril de 2015, do CONFEA, que conceitua o termo “Projeto” e define suas tipificações.</w:t>
      </w:r>
    </w:p>
    <w:p w:rsidR="000B366D" w:rsidRPr="000B366D" w:rsidRDefault="000B366D" w:rsidP="000B366D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 </w:t>
      </w:r>
    </w:p>
    <w:p w:rsidR="00FA1378" w:rsidRDefault="00FA1378" w:rsidP="008020A3">
      <w:pPr>
        <w:jc w:val="both"/>
        <w:rPr>
          <w:rFonts w:asciiTheme="minorHAnsi" w:hAnsiTheme="minorHAnsi"/>
        </w:rPr>
      </w:pPr>
      <w:r w:rsidRPr="008020A3">
        <w:rPr>
          <w:rFonts w:asciiTheme="minorHAnsi" w:hAnsiTheme="minorHAnsi"/>
          <w:b/>
        </w:rPr>
        <w:t>Considerando</w:t>
      </w:r>
      <w:r>
        <w:rPr>
          <w:rFonts w:asciiTheme="minorHAnsi" w:hAnsiTheme="minorHAnsi"/>
        </w:rPr>
        <w:t xml:space="preserve"> </w:t>
      </w:r>
      <w:r w:rsidR="002A4C7F">
        <w:rPr>
          <w:rFonts w:asciiTheme="minorHAnsi" w:hAnsiTheme="minorHAnsi"/>
        </w:rPr>
        <w:t xml:space="preserve">esclarecimentos do </w:t>
      </w:r>
      <w:r w:rsidR="009C628C">
        <w:rPr>
          <w:rFonts w:asciiTheme="minorHAnsi" w:hAnsiTheme="minorHAnsi"/>
        </w:rPr>
        <w:t>Advogado</w:t>
      </w:r>
      <w:r w:rsidR="002A4C7F">
        <w:rPr>
          <w:rFonts w:asciiTheme="minorHAnsi" w:hAnsiTheme="minorHAnsi"/>
        </w:rPr>
        <w:t>, Dante Maia Silva, OAB/MG 134.011</w:t>
      </w:r>
      <w:r w:rsidR="009C628C">
        <w:rPr>
          <w:rFonts w:asciiTheme="minorHAnsi" w:hAnsiTheme="minorHAnsi"/>
        </w:rPr>
        <w:t>, da Gerência Jurídica do CAU/MG</w:t>
      </w:r>
      <w:r w:rsidR="002A4C7F">
        <w:rPr>
          <w:rFonts w:asciiTheme="minorHAnsi" w:hAnsiTheme="minorHAnsi"/>
        </w:rPr>
        <w:t>;</w:t>
      </w:r>
    </w:p>
    <w:p w:rsidR="00EA4FC0" w:rsidRPr="00B03507" w:rsidRDefault="00EA4FC0" w:rsidP="008020A3">
      <w:pPr>
        <w:jc w:val="both"/>
        <w:rPr>
          <w:rFonts w:asciiTheme="minorHAnsi" w:hAnsiTheme="minorHAnsi"/>
          <w:sz w:val="16"/>
          <w:szCs w:val="16"/>
        </w:rPr>
      </w:pPr>
    </w:p>
    <w:p w:rsidR="000943A4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B03507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Pr="00B03507" w:rsidRDefault="000943A4" w:rsidP="007435AF">
      <w:pPr>
        <w:jc w:val="both"/>
        <w:rPr>
          <w:rFonts w:asciiTheme="minorHAnsi" w:hAnsiTheme="minorHAnsi"/>
          <w:sz w:val="16"/>
          <w:szCs w:val="16"/>
        </w:rPr>
      </w:pPr>
    </w:p>
    <w:p w:rsidR="002A4C7F" w:rsidRDefault="008237DD" w:rsidP="009D6FBE">
      <w:pPr>
        <w:jc w:val="both"/>
        <w:rPr>
          <w:rFonts w:asciiTheme="minorHAnsi" w:hAnsiTheme="minorHAnsi"/>
        </w:rPr>
      </w:pPr>
      <w:r w:rsidRPr="009C628C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Encaminhar </w:t>
      </w:r>
      <w:r w:rsidR="00367EFE">
        <w:rPr>
          <w:rFonts w:asciiTheme="minorHAnsi" w:hAnsiTheme="minorHAnsi"/>
        </w:rPr>
        <w:t xml:space="preserve">ao </w:t>
      </w:r>
      <w:r w:rsidR="00E76922">
        <w:rPr>
          <w:rFonts w:asciiTheme="minorHAnsi" w:hAnsiTheme="minorHAnsi"/>
        </w:rPr>
        <w:t>Plenário para conhecimento</w:t>
      </w:r>
      <w:r w:rsidR="007A70F9">
        <w:rPr>
          <w:rFonts w:asciiTheme="minorHAnsi" w:hAnsiTheme="minorHAnsi"/>
        </w:rPr>
        <w:t xml:space="preserve"> e encaminhamento</w:t>
      </w:r>
      <w:r w:rsidR="00B03507">
        <w:rPr>
          <w:rFonts w:asciiTheme="minorHAnsi" w:hAnsiTheme="minorHAnsi"/>
        </w:rPr>
        <w:t>s</w:t>
      </w:r>
      <w:r w:rsidR="007A70F9">
        <w:rPr>
          <w:rFonts w:asciiTheme="minorHAnsi" w:hAnsiTheme="minorHAnsi"/>
        </w:rPr>
        <w:t xml:space="preserve"> que </w:t>
      </w:r>
      <w:r w:rsidR="00E76922">
        <w:rPr>
          <w:rFonts w:asciiTheme="minorHAnsi" w:hAnsiTheme="minorHAnsi"/>
        </w:rPr>
        <w:t>julgar necessári</w:t>
      </w:r>
      <w:r w:rsidR="007A70F9">
        <w:rPr>
          <w:rFonts w:asciiTheme="minorHAnsi" w:hAnsiTheme="minorHAnsi"/>
        </w:rPr>
        <w:t>o</w:t>
      </w:r>
      <w:r w:rsidR="00B03507">
        <w:rPr>
          <w:rFonts w:asciiTheme="minorHAnsi" w:hAnsiTheme="minorHAnsi"/>
        </w:rPr>
        <w:t>s</w:t>
      </w:r>
      <w:r w:rsidR="00E76922">
        <w:rPr>
          <w:rFonts w:asciiTheme="minorHAnsi" w:hAnsiTheme="minorHAnsi"/>
        </w:rPr>
        <w:t xml:space="preserve"> a</w:t>
      </w:r>
      <w:r w:rsidR="000B366D">
        <w:rPr>
          <w:rFonts w:asciiTheme="minorHAnsi" w:hAnsiTheme="minorHAnsi"/>
        </w:rPr>
        <w:t>s</w:t>
      </w:r>
      <w:r w:rsidR="009C628C">
        <w:rPr>
          <w:rFonts w:asciiTheme="minorHAnsi" w:hAnsiTheme="minorHAnsi"/>
        </w:rPr>
        <w:t xml:space="preserve"> Decis</w:t>
      </w:r>
      <w:r w:rsidR="000B366D">
        <w:rPr>
          <w:rFonts w:asciiTheme="minorHAnsi" w:hAnsiTheme="minorHAnsi"/>
        </w:rPr>
        <w:t xml:space="preserve">ões </w:t>
      </w:r>
      <w:r w:rsidR="009C628C">
        <w:rPr>
          <w:rFonts w:asciiTheme="minorHAnsi" w:hAnsiTheme="minorHAnsi"/>
        </w:rPr>
        <w:t>Normativa</w:t>
      </w:r>
      <w:r w:rsidR="000B366D">
        <w:rPr>
          <w:rFonts w:asciiTheme="minorHAnsi" w:hAnsiTheme="minorHAnsi"/>
        </w:rPr>
        <w:t>s</w:t>
      </w:r>
      <w:r w:rsidR="009C628C">
        <w:rPr>
          <w:rFonts w:asciiTheme="minorHAnsi" w:hAnsiTheme="minorHAnsi"/>
        </w:rPr>
        <w:t xml:space="preserve"> nº 104</w:t>
      </w:r>
      <w:r w:rsidR="000B366D">
        <w:rPr>
          <w:rFonts w:asciiTheme="minorHAnsi" w:hAnsiTheme="minorHAnsi"/>
        </w:rPr>
        <w:t xml:space="preserve"> e nº</w:t>
      </w:r>
      <w:r w:rsidR="009C628C">
        <w:rPr>
          <w:rFonts w:asciiTheme="minorHAnsi" w:hAnsiTheme="minorHAnsi"/>
        </w:rPr>
        <w:t xml:space="preserve"> 106, </w:t>
      </w:r>
      <w:r w:rsidR="00B03507">
        <w:rPr>
          <w:rFonts w:asciiTheme="minorHAnsi" w:hAnsiTheme="minorHAnsi"/>
        </w:rPr>
        <w:t xml:space="preserve">editadas pelo </w:t>
      </w:r>
      <w:r w:rsidR="00367EFE">
        <w:rPr>
          <w:rFonts w:asciiTheme="minorHAnsi" w:hAnsiTheme="minorHAnsi"/>
        </w:rPr>
        <w:t>CONFEA</w:t>
      </w:r>
      <w:r w:rsidR="00E76922">
        <w:rPr>
          <w:rFonts w:asciiTheme="minorHAnsi" w:hAnsiTheme="minorHAnsi"/>
        </w:rPr>
        <w:t>.</w:t>
      </w:r>
    </w:p>
    <w:p w:rsidR="008455C5" w:rsidRPr="009D6FBE" w:rsidRDefault="008455C5" w:rsidP="009D6FBE">
      <w:pPr>
        <w:jc w:val="both"/>
        <w:rPr>
          <w:rFonts w:asciiTheme="minorHAnsi" w:hAnsiTheme="minorHAnsi"/>
        </w:rPr>
      </w:pPr>
    </w:p>
    <w:p w:rsidR="00772DA6" w:rsidRPr="009D6FBE" w:rsidRDefault="009D6FBE" w:rsidP="009D6FBE">
      <w:pPr>
        <w:jc w:val="both"/>
        <w:rPr>
          <w:rFonts w:asciiTheme="minorHAnsi" w:hAnsiTheme="minorHAnsi"/>
        </w:rPr>
      </w:pPr>
      <w:r w:rsidRPr="009C628C">
        <w:rPr>
          <w:rFonts w:asciiTheme="minorHAnsi" w:hAnsiTheme="minorHAnsi"/>
          <w:b/>
        </w:rPr>
        <w:t xml:space="preserve">Art. </w:t>
      </w:r>
      <w:r w:rsidR="00551D48" w:rsidRPr="009C628C">
        <w:rPr>
          <w:rFonts w:asciiTheme="minorHAnsi" w:hAnsiTheme="minorHAnsi"/>
          <w:b/>
        </w:rPr>
        <w:t>3</w:t>
      </w:r>
      <w:r w:rsidRPr="009C628C">
        <w:rPr>
          <w:rFonts w:asciiTheme="minorHAnsi" w:hAnsiTheme="minorHAnsi"/>
          <w:b/>
        </w:rPr>
        <w:t>º</w:t>
      </w:r>
      <w:r>
        <w:rPr>
          <w:rFonts w:asciiTheme="minorHAnsi" w:hAnsiTheme="minorHAnsi"/>
        </w:rPr>
        <w:t xml:space="preserve"> </w:t>
      </w:r>
      <w:r w:rsidR="00772DA6" w:rsidRPr="009D6FBE">
        <w:rPr>
          <w:rFonts w:asciiTheme="minorHAnsi" w:hAnsiTheme="minorHAnsi"/>
        </w:rPr>
        <w:t xml:space="preserve">Esta deliberação </w:t>
      </w:r>
      <w:r w:rsidR="00666319">
        <w:rPr>
          <w:rFonts w:asciiTheme="minorHAnsi" w:hAnsiTheme="minorHAnsi"/>
        </w:rPr>
        <w:t xml:space="preserve">do Conselho Diretor </w:t>
      </w:r>
      <w:r w:rsidRPr="009D6FBE">
        <w:rPr>
          <w:rFonts w:asciiTheme="minorHAnsi" w:hAnsiTheme="minorHAnsi"/>
        </w:rPr>
        <w:t>entra em vigor nesta data.</w:t>
      </w:r>
    </w:p>
    <w:p w:rsidR="000943A4" w:rsidRPr="00C3121C" w:rsidRDefault="000943A4" w:rsidP="009D6FBE">
      <w:pPr>
        <w:pStyle w:val="PargrafodaLista"/>
        <w:ind w:left="360"/>
        <w:jc w:val="both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0B366D">
        <w:rPr>
          <w:rFonts w:asciiTheme="minorHAnsi" w:hAnsiTheme="minorHAnsi"/>
        </w:rPr>
        <w:t xml:space="preserve">04 </w:t>
      </w:r>
      <w:r>
        <w:rPr>
          <w:rFonts w:asciiTheme="minorHAnsi" w:hAnsiTheme="minorHAnsi"/>
        </w:rPr>
        <w:t>de maio 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B03507" w:rsidRPr="00400296" w:rsidRDefault="00B03507" w:rsidP="00B03507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B03507" w:rsidRPr="00400296" w:rsidRDefault="00B03507" w:rsidP="00B03507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B03507" w:rsidRPr="00400296" w:rsidRDefault="00B03507" w:rsidP="00B03507">
      <w:pPr>
        <w:jc w:val="both"/>
        <w:rPr>
          <w:rFonts w:asciiTheme="minorHAnsi" w:hAnsiTheme="minorHAnsi"/>
        </w:rPr>
      </w:pPr>
    </w:p>
    <w:p w:rsidR="00B03507" w:rsidRPr="00400296" w:rsidRDefault="00B03507" w:rsidP="00B03507">
      <w:pPr>
        <w:jc w:val="both"/>
        <w:rPr>
          <w:rFonts w:asciiTheme="minorHAnsi" w:hAnsiTheme="minorHAnsi"/>
        </w:rPr>
      </w:pPr>
    </w:p>
    <w:p w:rsidR="00B03507" w:rsidRPr="00400296" w:rsidRDefault="00B03507" w:rsidP="00B0350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B03507" w:rsidRPr="00400296" w:rsidRDefault="00B03507" w:rsidP="00B0350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B03507" w:rsidRPr="00400296" w:rsidRDefault="00B03507" w:rsidP="00B0350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B03507" w:rsidRPr="00400296" w:rsidRDefault="00B03507" w:rsidP="00B03507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B03507" w:rsidRPr="00ED27A1" w:rsidRDefault="00B03507" w:rsidP="00B03507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</w:p>
    <w:p w:rsidR="000943A4" w:rsidRDefault="000943A4" w:rsidP="00B03507">
      <w:pPr>
        <w:rPr>
          <w:rFonts w:asciiTheme="minorHAnsi" w:hAnsiTheme="minorHAnsi"/>
        </w:rPr>
      </w:pPr>
    </w:p>
    <w:sectPr w:rsidR="000943A4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B588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B588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8.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B588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607C0"/>
    <w:rsid w:val="00084FA7"/>
    <w:rsid w:val="00094156"/>
    <w:rsid w:val="000943A4"/>
    <w:rsid w:val="000A6F90"/>
    <w:rsid w:val="000B366D"/>
    <w:rsid w:val="000D67B1"/>
    <w:rsid w:val="001100AE"/>
    <w:rsid w:val="0011493D"/>
    <w:rsid w:val="00122EB7"/>
    <w:rsid w:val="0014109E"/>
    <w:rsid w:val="00146DD2"/>
    <w:rsid w:val="00155027"/>
    <w:rsid w:val="00167101"/>
    <w:rsid w:val="00172E85"/>
    <w:rsid w:val="00193B23"/>
    <w:rsid w:val="001B3BED"/>
    <w:rsid w:val="001E3D80"/>
    <w:rsid w:val="001E4250"/>
    <w:rsid w:val="001F4174"/>
    <w:rsid w:val="002177EE"/>
    <w:rsid w:val="0022760A"/>
    <w:rsid w:val="0024288F"/>
    <w:rsid w:val="00262CC1"/>
    <w:rsid w:val="00263523"/>
    <w:rsid w:val="002654CD"/>
    <w:rsid w:val="002A4C7F"/>
    <w:rsid w:val="002B5C79"/>
    <w:rsid w:val="002C79CB"/>
    <w:rsid w:val="002E571A"/>
    <w:rsid w:val="002F0AFA"/>
    <w:rsid w:val="003000F1"/>
    <w:rsid w:val="00302702"/>
    <w:rsid w:val="00327759"/>
    <w:rsid w:val="00367EFE"/>
    <w:rsid w:val="00376896"/>
    <w:rsid w:val="003C2099"/>
    <w:rsid w:val="003D0BF8"/>
    <w:rsid w:val="003E5A27"/>
    <w:rsid w:val="003F398C"/>
    <w:rsid w:val="004410D6"/>
    <w:rsid w:val="00441347"/>
    <w:rsid w:val="004458CC"/>
    <w:rsid w:val="0045278B"/>
    <w:rsid w:val="004B4302"/>
    <w:rsid w:val="004B5884"/>
    <w:rsid w:val="004C27DC"/>
    <w:rsid w:val="004F582C"/>
    <w:rsid w:val="00505A82"/>
    <w:rsid w:val="00526242"/>
    <w:rsid w:val="005427EB"/>
    <w:rsid w:val="00551D48"/>
    <w:rsid w:val="005661FF"/>
    <w:rsid w:val="00584AD0"/>
    <w:rsid w:val="005A1CA3"/>
    <w:rsid w:val="005A6B3B"/>
    <w:rsid w:val="005B2F89"/>
    <w:rsid w:val="005B407C"/>
    <w:rsid w:val="005C1159"/>
    <w:rsid w:val="005F43B9"/>
    <w:rsid w:val="0060245F"/>
    <w:rsid w:val="00611D51"/>
    <w:rsid w:val="006127FD"/>
    <w:rsid w:val="00642FA3"/>
    <w:rsid w:val="00645A32"/>
    <w:rsid w:val="00666319"/>
    <w:rsid w:val="00676B9C"/>
    <w:rsid w:val="006A0E4D"/>
    <w:rsid w:val="006A130B"/>
    <w:rsid w:val="006A4DA3"/>
    <w:rsid w:val="006A6E50"/>
    <w:rsid w:val="006B058D"/>
    <w:rsid w:val="006E7531"/>
    <w:rsid w:val="006F3BDA"/>
    <w:rsid w:val="006F7023"/>
    <w:rsid w:val="007228A4"/>
    <w:rsid w:val="00726A60"/>
    <w:rsid w:val="00736A1F"/>
    <w:rsid w:val="00740B04"/>
    <w:rsid w:val="007435AF"/>
    <w:rsid w:val="00753AD5"/>
    <w:rsid w:val="00760BAA"/>
    <w:rsid w:val="00765055"/>
    <w:rsid w:val="007708F4"/>
    <w:rsid w:val="00772DA6"/>
    <w:rsid w:val="00775AD4"/>
    <w:rsid w:val="00792001"/>
    <w:rsid w:val="00792CCB"/>
    <w:rsid w:val="00793553"/>
    <w:rsid w:val="007A6EC2"/>
    <w:rsid w:val="007A70F9"/>
    <w:rsid w:val="007B1247"/>
    <w:rsid w:val="007B72AA"/>
    <w:rsid w:val="007C1201"/>
    <w:rsid w:val="007D1C96"/>
    <w:rsid w:val="007E3432"/>
    <w:rsid w:val="008020A3"/>
    <w:rsid w:val="00812B93"/>
    <w:rsid w:val="00815F70"/>
    <w:rsid w:val="00820A01"/>
    <w:rsid w:val="008237DD"/>
    <w:rsid w:val="0082798C"/>
    <w:rsid w:val="008455C5"/>
    <w:rsid w:val="00855C5A"/>
    <w:rsid w:val="0088037E"/>
    <w:rsid w:val="008945B5"/>
    <w:rsid w:val="008A6682"/>
    <w:rsid w:val="008B637A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C628C"/>
    <w:rsid w:val="009D0220"/>
    <w:rsid w:val="009D6FBE"/>
    <w:rsid w:val="009D7DF3"/>
    <w:rsid w:val="009F1005"/>
    <w:rsid w:val="009F512C"/>
    <w:rsid w:val="00A143AE"/>
    <w:rsid w:val="00A23CE9"/>
    <w:rsid w:val="00A41BCF"/>
    <w:rsid w:val="00A61825"/>
    <w:rsid w:val="00A653CA"/>
    <w:rsid w:val="00A6634A"/>
    <w:rsid w:val="00A723C3"/>
    <w:rsid w:val="00A8495A"/>
    <w:rsid w:val="00A85B5D"/>
    <w:rsid w:val="00AA5163"/>
    <w:rsid w:val="00AC0744"/>
    <w:rsid w:val="00AC0FC9"/>
    <w:rsid w:val="00AD3784"/>
    <w:rsid w:val="00AD5879"/>
    <w:rsid w:val="00AE42A5"/>
    <w:rsid w:val="00AF741D"/>
    <w:rsid w:val="00B01217"/>
    <w:rsid w:val="00B03507"/>
    <w:rsid w:val="00B25DE3"/>
    <w:rsid w:val="00B27F33"/>
    <w:rsid w:val="00B73D50"/>
    <w:rsid w:val="00B762F9"/>
    <w:rsid w:val="00B90743"/>
    <w:rsid w:val="00B93E6F"/>
    <w:rsid w:val="00BF1414"/>
    <w:rsid w:val="00C14B4D"/>
    <w:rsid w:val="00C1579D"/>
    <w:rsid w:val="00C203F2"/>
    <w:rsid w:val="00C3121C"/>
    <w:rsid w:val="00C81364"/>
    <w:rsid w:val="00C86F18"/>
    <w:rsid w:val="00C87119"/>
    <w:rsid w:val="00CB6E9F"/>
    <w:rsid w:val="00CD43E6"/>
    <w:rsid w:val="00CD668E"/>
    <w:rsid w:val="00CF7255"/>
    <w:rsid w:val="00D017C7"/>
    <w:rsid w:val="00D0191C"/>
    <w:rsid w:val="00D100EA"/>
    <w:rsid w:val="00D43CEB"/>
    <w:rsid w:val="00D62024"/>
    <w:rsid w:val="00D65368"/>
    <w:rsid w:val="00D826DA"/>
    <w:rsid w:val="00D906EB"/>
    <w:rsid w:val="00DA5265"/>
    <w:rsid w:val="00DC2230"/>
    <w:rsid w:val="00DE01FA"/>
    <w:rsid w:val="00DE1BCE"/>
    <w:rsid w:val="00DF4E41"/>
    <w:rsid w:val="00E046EB"/>
    <w:rsid w:val="00E116E7"/>
    <w:rsid w:val="00E55BF0"/>
    <w:rsid w:val="00E76922"/>
    <w:rsid w:val="00E90658"/>
    <w:rsid w:val="00EA4FC0"/>
    <w:rsid w:val="00EB7A50"/>
    <w:rsid w:val="00ED1EFE"/>
    <w:rsid w:val="00ED27A1"/>
    <w:rsid w:val="00EE4CE8"/>
    <w:rsid w:val="00EE4FDD"/>
    <w:rsid w:val="00F338E6"/>
    <w:rsid w:val="00F40195"/>
    <w:rsid w:val="00F50E18"/>
    <w:rsid w:val="00F9127F"/>
    <w:rsid w:val="00F978BF"/>
    <w:rsid w:val="00FA1378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24</cp:revision>
  <cp:lastPrinted>2015-05-27T13:01:00Z</cp:lastPrinted>
  <dcterms:created xsi:type="dcterms:W3CDTF">2015-05-19T20:39:00Z</dcterms:created>
  <dcterms:modified xsi:type="dcterms:W3CDTF">2015-05-29T15:48:00Z</dcterms:modified>
</cp:coreProperties>
</file>