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EF370F" w:rsidRPr="00D30883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F370F" w:rsidRDefault="007D67C9" w:rsidP="00EF370F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B76924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EF370F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D2110C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EF370F" w:rsidRPr="00D30883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EF370F" w:rsidRDefault="004B480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EF370F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F370F" w:rsidRDefault="00A557ED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EF370F" w:rsidRPr="00EF370F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F370F" w:rsidRDefault="00EF370F" w:rsidP="00EF370F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11</w:t>
            </w:r>
            <w:r w:rsidR="00B202FF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dezembro</w:t>
            </w:r>
            <w:r w:rsidR="008E294B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022C6B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</w:tr>
      <w:tr w:rsidR="00EF370F" w:rsidRPr="00D30883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EF370F" w:rsidRPr="00EF370F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EF370F" w:rsidRDefault="00B10D5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5256F9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C5004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5256F9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EF370F" w:rsidRPr="00EF370F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EF370F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EF370F" w:rsidRPr="00D3088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EF370F" w:rsidRDefault="00700D70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EF370F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EF370F" w:rsidRPr="00D30883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6D047C" w:rsidRPr="00EF370F" w:rsidRDefault="006D047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 </w:t>
            </w:r>
          </w:p>
        </w:tc>
        <w:tc>
          <w:tcPr>
            <w:tcW w:w="4415" w:type="dxa"/>
            <w:vAlign w:val="center"/>
          </w:tcPr>
          <w:p w:rsidR="006D047C" w:rsidRPr="00EF370F" w:rsidRDefault="006D047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Coordenadora Adjunta da CED-CAU/MG</w:t>
            </w:r>
          </w:p>
        </w:tc>
      </w:tr>
      <w:tr w:rsidR="00EF370F" w:rsidRPr="00D30883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700D70" w:rsidRPr="00EF370F" w:rsidRDefault="00700D70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700D70" w:rsidRPr="00EF370F" w:rsidRDefault="006D04E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Luzia Edvan de Oliveira</w:t>
            </w:r>
          </w:p>
        </w:tc>
        <w:tc>
          <w:tcPr>
            <w:tcW w:w="4415" w:type="dxa"/>
            <w:vAlign w:val="center"/>
          </w:tcPr>
          <w:p w:rsidR="00700D70" w:rsidRPr="00EF370F" w:rsidRDefault="00700D70" w:rsidP="006D04E9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Membro </w:t>
            </w:r>
            <w:r w:rsidR="006D04E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Suplente</w:t>
            </w:r>
            <w:r w:rsidR="00A75DA4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 CE</w:t>
            </w:r>
            <w:r w:rsidR="000B512F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EF370F" w:rsidRPr="00D3088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EF370F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EF370F" w:rsidRDefault="00362D2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Diogo Ubaldo Braga – Arquiteto Analista e Assessor da Comissão da CED/MG</w:t>
            </w:r>
          </w:p>
        </w:tc>
      </w:tr>
      <w:tr w:rsidR="003D0E44" w:rsidRPr="00D3088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3D0E44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3D0E44" w:rsidRPr="003D0E44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EF370F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3D0E44" w:rsidRPr="003D0E4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925786" w:rsidRDefault="001509C9" w:rsidP="00EF370F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  <w:p w:rsidR="00EF370F" w:rsidRP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D0E44" w:rsidRPr="00D3088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EF370F" w:rsidRDefault="007D67C9" w:rsidP="00EF370F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Comunicados:</w:t>
            </w:r>
            <w:r w:rsidR="00694252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EF370F" w:rsidRP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EF370F" w:rsidRDefault="00EF370F" w:rsidP="00EF370F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EF370F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2.1 Relato sobre o encontro da regional sul das Comissões de Ética e Disciplina, no qual a Conselheira Marília Palhares foi a representante da CED/MG. </w:t>
            </w:r>
          </w:p>
          <w:p w:rsidR="00EF370F" w:rsidRPr="00EF370F" w:rsidRDefault="00EF370F" w:rsidP="00EF370F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C76C3" w:rsidRDefault="00EF370F" w:rsidP="00EF370F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EF370F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2.2 Comunicado referente a denúncias represadas no SICCAU pela Gerente Técnica e de Fiscalização Samira Houri.</w:t>
            </w:r>
          </w:p>
          <w:p w:rsidR="00EF370F" w:rsidRPr="00EF370F" w:rsidRDefault="00EF370F" w:rsidP="00EF370F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3D0E44" w:rsidRPr="00D3088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ED4F03" w:rsidRDefault="004D5D27" w:rsidP="00EF370F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EF370F" w:rsidRP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EF370F" w:rsidRPr="009C613F" w:rsidRDefault="00EF370F" w:rsidP="00EF370F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9C613F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3.1 Proposta de definição de diretrizes para elaboração de contratos para utilização dos profissionais. </w:t>
            </w:r>
          </w:p>
          <w:p w:rsidR="00EF370F" w:rsidRDefault="00EF370F" w:rsidP="00EF370F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  <w:lang w:val="pt-BR"/>
              </w:rPr>
            </w:pPr>
          </w:p>
          <w:p w:rsidR="00EF370F" w:rsidRDefault="00EF370F" w:rsidP="00EF370F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9C613F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3.2 Memorando GEPLAN n°02/2018 da Relatório de gestão do ano de 2018 referente às ações da CED/MG. </w:t>
            </w:r>
          </w:p>
          <w:p w:rsidR="00EF370F" w:rsidRPr="00EF370F" w:rsidRDefault="00EF370F" w:rsidP="00EF370F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EF370F" w:rsidRPr="00D3088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971F5" w:rsidRPr="00EF370F" w:rsidRDefault="003971F5" w:rsidP="00B5446B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E233C3" w:rsidRPr="00EF370F" w:rsidRDefault="00E233C3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val="pt-BR" w:eastAsia="pt-BR"/>
              </w:rPr>
            </w:pPr>
            <w:r w:rsidRPr="00EF370F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Análise e revisão geral dos processos em tramitação na CED-CAU/MG;</w:t>
            </w:r>
          </w:p>
          <w:p w:rsidR="00E233C3" w:rsidRPr="00EF370F" w:rsidRDefault="00E233C3" w:rsidP="00B5446B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EF370F" w:rsidRPr="00EF370F" w:rsidRDefault="00EF370F" w:rsidP="00EF370F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 xml:space="preserve">4.1 [PROT. N° 782206-18] (Relator: A nomear.) </w:t>
            </w:r>
          </w:p>
          <w:p w:rsidR="00EF370F" w:rsidRPr="00EF370F" w:rsidRDefault="00EF370F" w:rsidP="00EF370F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 xml:space="preserve">4.2 [PROT. Nº 785347-2018] (Relator: A nomear.) </w:t>
            </w:r>
          </w:p>
          <w:p w:rsidR="00EF370F" w:rsidRPr="00EF370F" w:rsidRDefault="00EF370F" w:rsidP="00EF370F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>4.3 [PROT. N° 775001/2018] (Relator: Cláudio de Melo Rocha.)</w:t>
            </w:r>
          </w:p>
          <w:p w:rsidR="00EF370F" w:rsidRPr="00EF370F" w:rsidRDefault="00EF370F" w:rsidP="00EF370F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>4.4 [PROT. N° 775005/2018] (Relator: A ser nomeado.)</w:t>
            </w:r>
          </w:p>
          <w:p w:rsidR="00EF370F" w:rsidRPr="00EF370F" w:rsidRDefault="00EF370F" w:rsidP="00EF370F">
            <w:pPr>
              <w:widowControl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 xml:space="preserve">4.5 [PROT. Nº 763944-2018] (Relator: Marília Palhares Machado.) </w:t>
            </w:r>
          </w:p>
          <w:p w:rsidR="00EF370F" w:rsidRPr="00EF370F" w:rsidRDefault="00EF370F" w:rsidP="00EF370F">
            <w:pPr>
              <w:widowControl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 xml:space="preserve">4.6 [PROT. Nº 759795-2018] (Relator: Cláudio de Melo Rocha.) </w:t>
            </w:r>
          </w:p>
          <w:p w:rsidR="00EF370F" w:rsidRPr="00EF370F" w:rsidRDefault="00EF370F" w:rsidP="00EF370F">
            <w:pPr>
              <w:widowControl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 xml:space="preserve">4.7 [PROT. Nº 763255-2018] (Relator: Marília Palhares Machado.) </w:t>
            </w:r>
          </w:p>
          <w:p w:rsidR="00EF370F" w:rsidRPr="00EF370F" w:rsidRDefault="00EF370F" w:rsidP="00EF370F">
            <w:pPr>
              <w:widowControl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 xml:space="preserve">4.8 [PROT. Nº 763261-2018] (Relator: Cecilia Maria Rabelo Geraldo.) </w:t>
            </w:r>
          </w:p>
          <w:p w:rsidR="00EF370F" w:rsidRPr="00EF370F" w:rsidRDefault="00EF370F" w:rsidP="00EF370F">
            <w:pPr>
              <w:pStyle w:val="PargrafodaLista"/>
              <w:widowControl/>
              <w:ind w:left="0"/>
              <w:contextualSpacing/>
              <w:rPr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 xml:space="preserve">4.9 [PROT. N° 715263/2018] (Relator: Cecilia Maria Rabelo Geraldo.) </w:t>
            </w:r>
          </w:p>
          <w:p w:rsidR="00EF370F" w:rsidRPr="00EF370F" w:rsidRDefault="00EF370F" w:rsidP="00EF370F">
            <w:pPr>
              <w:jc w:val="both"/>
              <w:rPr>
                <w:color w:val="000000" w:themeColor="text1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 xml:space="preserve">4.10 [PROT. N° 646677/2018] (Relator: Cecilia Maria Rabelo Geraldo.) </w:t>
            </w:r>
          </w:p>
          <w:p w:rsidR="00EF370F" w:rsidRPr="00EF370F" w:rsidRDefault="00EF370F" w:rsidP="00EF370F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 xml:space="preserve">4.11 [PROT. 633608-2018] (Relator: Cláudio de Melo Rocha.) </w:t>
            </w:r>
          </w:p>
          <w:p w:rsidR="00BB65B2" w:rsidRPr="00EF370F" w:rsidRDefault="00EF370F" w:rsidP="00EF370F">
            <w:pPr>
              <w:jc w:val="both"/>
              <w:rPr>
                <w:color w:val="000000" w:themeColor="text1"/>
                <w:lang w:val="pt-BR"/>
              </w:rPr>
            </w:pPr>
            <w:r w:rsidRPr="00EF370F">
              <w:rPr>
                <w:color w:val="000000" w:themeColor="text1"/>
                <w:sz w:val="20"/>
                <w:szCs w:val="20"/>
                <w:lang w:val="pt-BR"/>
              </w:rPr>
              <w:t xml:space="preserve">4.12 [PROT. Nº 633364-2018] (Relator: Claudio de Melo Rocha.) </w:t>
            </w:r>
          </w:p>
          <w:p w:rsidR="00CD4C24" w:rsidRPr="00EF370F" w:rsidRDefault="00CD4C24" w:rsidP="00B5446B">
            <w:pPr>
              <w:shd w:val="clear" w:color="auto" w:fill="FFFFFF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EF370F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5C5004" w:rsidRPr="00EF370F" w:rsidRDefault="007D67C9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CA09AA" w:rsidRPr="00EF370F" w:rsidRDefault="00CA09AA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D0E44" w:rsidRPr="003D0E44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3D0E44" w:rsidRDefault="003971F5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:rsidR="005C5E64" w:rsidRPr="003D0E44" w:rsidRDefault="005C5E6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CC371D" w:rsidRPr="00CC371D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CC371D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CC371D" w:rsidRDefault="000871A5" w:rsidP="00B5446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CC371D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CC371D" w:rsidRDefault="0083491D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CC371D" w:rsidRDefault="00DF0D04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CC371D" w:rsidRPr="00D30883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CC371D" w:rsidRDefault="0083491D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CC371D" w:rsidRDefault="002A5110" w:rsidP="003D1B89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Foram apregoados os membros desta Comissão às </w:t>
            </w:r>
            <w:r w:rsidR="00A34ADE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09</w:t>
            </w:r>
            <w:r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3D1B89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AF285A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0</w:t>
            </w:r>
            <w:r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min</w:t>
            </w:r>
            <w:r w:rsidR="001E17F5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</w:t>
            </w:r>
            <w:r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B95BD5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foi</w:t>
            </w:r>
            <w:r w:rsidR="00306280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1E17F5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verificad</w:t>
            </w:r>
            <w:r w:rsidR="0012657E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3F74DB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quórum</w:t>
            </w:r>
            <w:r w:rsidR="0012657E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47128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com </w:t>
            </w:r>
            <w:r w:rsidR="0012657E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presença da Conselheira </w:t>
            </w:r>
            <w:r w:rsidR="00D4723F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="004F591A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da Conselheira </w:t>
            </w:r>
            <w:r w:rsidR="004F591A" w:rsidRPr="003D1B8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="006F1653" w:rsidRPr="003D1B8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3D1B89" w:rsidRPr="003D1B8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6F1653" w:rsidRPr="003D1B8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Conselheir</w:t>
            </w:r>
            <w:r w:rsidR="003D1B89" w:rsidRPr="003D1B8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6F1653" w:rsidRPr="003D1B8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D1B89" w:rsidRPr="003D1B8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Luzia Edvan de Oliveira</w:t>
            </w:r>
            <w:r w:rsidR="003D1B89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4723F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 </w:t>
            </w:r>
            <w:r w:rsidR="005F56E0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do Assessor Diogo Braga</w:t>
            </w:r>
            <w:r w:rsidR="003F74DB" w:rsidRPr="003D1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</w:tbl>
    <w:p w:rsidR="007766D2" w:rsidRPr="003D0E44" w:rsidRDefault="007766D2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CC371D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CC371D" w:rsidRDefault="00D4735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CC371D" w:rsidRDefault="004C741B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CC371D" w:rsidRPr="00D30883" w:rsidTr="0047343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CC371D" w:rsidRDefault="00D4735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6A7" w:rsidRDefault="00CC371D" w:rsidP="00CC371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B2BCD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2.1 Relato sobre o encontro da regional sul das Comissões de Ética e Disciplina, no qual a Conselheira Marília Palhares foi a representante da CED</w:t>
            </w:r>
            <w:r w:rsidR="006F7956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/MG. A coordenadora informou sobre os debates ocorridos no encontro: a) Direito Autoral; b) Reserva técnica</w:t>
            </w:r>
            <w:r w:rsidR="00A26CC7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; c) Denúncias de ofício e anônimas.</w:t>
            </w:r>
            <w:r w:rsidR="006F7956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Sobre Direito Autoral foi discutido sobre a necessidade de solicitar </w:t>
            </w:r>
            <w:r w:rsidR="00E44BFB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autorização do arquiteto original para modificação de projeto e obra. Não houve conclusão. Quanto ao plágio foi discutido sobre a legislação criminal e foi orientado pelo Dr. Flávio, advogado do Rio Grande do Sul, de somente aceitar esta capitulação caso já exista trânsito em julgado no </w:t>
            </w:r>
            <w:r w:rsidR="00EC06A7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âmbito judicial, se for cópia idêntica ou reconhecimento pelo denunciado de que houve a cópia/plágio. </w:t>
            </w:r>
            <w:r w:rsidR="00A26CC7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Sobre a questão </w:t>
            </w:r>
            <w:r w:rsidR="00EE2D7B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das denúncias de ofício e anônimas, </w:t>
            </w:r>
            <w:proofErr w:type="spellStart"/>
            <w:r w:rsidR="00EE2D7B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esta</w:t>
            </w:r>
            <w:proofErr w:type="spellEnd"/>
            <w:r w:rsidR="00EE2D7B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CED/MG debateu sobre a necessidade de avaliação de fonte idônea constante na</w:t>
            </w:r>
            <w:r w:rsidR="00EE2D7B" w:rsidRPr="00EE2D7B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Subseção V “Da Instauração por meio de Outra Fonte Idônea”, da Resolução CAU/BR n° 143.</w:t>
            </w:r>
            <w:r w:rsidR="00EE2D7B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Firmou entendimento de que as denúncias anônimas podem resultar em processos de ofício. Ficou decidido que será elaborada uma Deliberação </w:t>
            </w:r>
            <w:proofErr w:type="spellStart"/>
            <w:r w:rsidR="00EE2D7B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orientativa</w:t>
            </w:r>
            <w:proofErr w:type="spellEnd"/>
            <w:r w:rsidR="00EE2D7B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para o funcionário do CAU/MG que realiza o recebimento e direcionamento das denúncias via SICCAU. </w:t>
            </w:r>
            <w:r w:rsidR="00F061EC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Sobre a Reserva Técnica </w:t>
            </w:r>
            <w:r w:rsidR="000E4011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debate circundou-se sobre a necessidade de definição do conceito para então prosseguir no debate em questão. </w:t>
            </w:r>
          </w:p>
          <w:p w:rsidR="0049457E" w:rsidRPr="00CC371D" w:rsidRDefault="0049457E" w:rsidP="00B5446B">
            <w:pPr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A31723" w:rsidRPr="00CB2BCD" w:rsidRDefault="00CC371D" w:rsidP="00CB2BCD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D1B89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2.2 Comunicado referente a denúncias represadas no SICCAU pela Gerente Técnica e de Fiscalização Samira Houri.</w:t>
            </w:r>
            <w:r w:rsidR="003D1B89" w:rsidRPr="003D1B89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Assessor Diogo comunicou que a Gerente Samira não poderá comparecer a esta reunião por conta de afastamento médico. No entanto, o assessor </w:t>
            </w:r>
            <w:r w:rsidR="003D1B89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fez comunicado sobre o incremento do volume de denúncias encaminhadas </w:t>
            </w:r>
            <w:r w:rsidR="00CB2BCD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à CED/MG e </w:t>
            </w:r>
            <w:r w:rsidR="003D1B89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apontou que esta comissão terá que discutir novas abordagens para </w:t>
            </w:r>
            <w:r w:rsidR="00CB2BCD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condução dos trabalhos tendo em vista este fato. </w:t>
            </w:r>
          </w:p>
        </w:tc>
      </w:tr>
    </w:tbl>
    <w:p w:rsidR="00D47128" w:rsidRPr="00CC371D" w:rsidRDefault="00D47128" w:rsidP="00B5446B">
      <w:pPr>
        <w:widowControl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p w:rsidR="00993D72" w:rsidRPr="00CC371D" w:rsidRDefault="00272E99" w:rsidP="00B5446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CC371D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D47128" w:rsidRPr="00CC371D" w:rsidRDefault="00D47128" w:rsidP="00B5446B">
      <w:pPr>
        <w:pStyle w:val="Ttulo1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CC371D" w:rsidRDefault="00272E99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CC371D" w:rsidRDefault="005C5E64" w:rsidP="00B5446B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="00FA797B"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Proposta de definição de diretrizes para elaboração de contratos para utilização dos profissionais.</w:t>
            </w:r>
          </w:p>
        </w:tc>
      </w:tr>
      <w:tr w:rsidR="00CC371D" w:rsidRPr="00D30883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CC371D" w:rsidRDefault="00272E9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537" w:rsidRPr="003A693E" w:rsidRDefault="003A693E" w:rsidP="003A693E">
            <w:pPr>
              <w:pStyle w:val="Default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3A693E">
              <w:rPr>
                <w:rFonts w:eastAsia="Times New Roman" w:cs="Calibri"/>
                <w:color w:val="000000" w:themeColor="text1"/>
                <w:sz w:val="20"/>
                <w:szCs w:val="20"/>
              </w:rPr>
              <w:t>Foi emitida a</w:t>
            </w:r>
            <w:r w:rsidR="00EB6C06" w:rsidRPr="003A693E">
              <w:rPr>
                <w:rFonts w:eastAsia="Times New Roman" w:cs="Calibri"/>
                <w:color w:val="000000" w:themeColor="text1"/>
                <w:sz w:val="20"/>
                <w:szCs w:val="20"/>
              </w:rPr>
              <w:t xml:space="preserve"> deliberação da CED/MG </w:t>
            </w:r>
            <w:r w:rsidRPr="003A693E">
              <w:rPr>
                <w:rFonts w:eastAsia="Times New Roman" w:cs="Calibri"/>
                <w:color w:val="000000" w:themeColor="text1"/>
                <w:sz w:val="20"/>
                <w:szCs w:val="20"/>
              </w:rPr>
              <w:t>n° 24/2018 – CED – CAU/MG que deliberou por: 01 – Por minutar diretrizes básicas, para subsidiar a elaboração de contratos, a serem utilizadas pelos profissionais. As diretrizes deverão ser publicizadas no site e redes sociais do CAU/MG através de campanha publicitária; 02 - Por solicitar ao Presidente do CAU/MG que encaminhe estas diretrizes acima discriminadas, para todas as Comissões Ordinárias deste CAU/MG, para que, se desejarem, apresentem contribuições até o dia 22 de fevereiro de 2019 à CED/MG.</w:t>
            </w:r>
          </w:p>
        </w:tc>
      </w:tr>
    </w:tbl>
    <w:p w:rsidR="00EB6C06" w:rsidRPr="00CC371D" w:rsidRDefault="00EB6C06" w:rsidP="00EB6C06">
      <w:pPr>
        <w:pStyle w:val="Ttulo1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D0E44" w:rsidRPr="00D30883" w:rsidTr="005A3A5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06" w:rsidRPr="00CC371D" w:rsidRDefault="00EB6C06" w:rsidP="005A3A52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B6C06" w:rsidRPr="003D0E44" w:rsidRDefault="00EB6C06" w:rsidP="00573718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CC371D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3.2 Memorando GEPLAN n°02/2018 </w:t>
            </w:r>
            <w:r w:rsidR="00573718" w:rsidRPr="00CC371D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sobre o</w:t>
            </w:r>
            <w:r w:rsidRPr="00CC371D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573718" w:rsidRPr="00CC371D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r</w:t>
            </w:r>
            <w:r w:rsidRPr="00CC371D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elatório de gestão do ano de 2018 referente às ações da CED/MG.</w:t>
            </w:r>
          </w:p>
        </w:tc>
      </w:tr>
      <w:tr w:rsidR="003D0E44" w:rsidRPr="00D30883" w:rsidTr="005A3A5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06" w:rsidRPr="00CC371D" w:rsidRDefault="00EB6C06" w:rsidP="005A3A52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06" w:rsidRPr="003D0E44" w:rsidRDefault="00ED0FD2" w:rsidP="00CC371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A12382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O Assessor </w:t>
            </w:r>
            <w:r w:rsidR="00C863A3" w:rsidRPr="00A12382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re</w:t>
            </w:r>
            <w:r w:rsidRPr="00A12382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apresentou o relatório da CED/MG </w:t>
            </w:r>
            <w:r w:rsidR="00CC371D" w:rsidRPr="00A12382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de 2018.</w:t>
            </w:r>
            <w:r w:rsidR="00134826" w:rsidRPr="00A12382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C863A3" w:rsidRPr="00A12382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Não houve tempo para debate-lo comparativamente com o do ano de 2017. </w:t>
            </w:r>
          </w:p>
        </w:tc>
      </w:tr>
    </w:tbl>
    <w:p w:rsidR="00EB6C06" w:rsidRPr="003D0E44" w:rsidRDefault="00EB6C06" w:rsidP="00B5446B">
      <w:pPr>
        <w:widowControl/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B944C2" w:rsidRPr="00CC371D" w:rsidRDefault="00272E99" w:rsidP="00B5446B">
      <w:pPr>
        <w:widowControl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CC371D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B944C2" w:rsidRPr="003D0E44" w:rsidRDefault="00B944C2" w:rsidP="00B944C2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D0E44" w:rsidRPr="00D30883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4C2" w:rsidRPr="00CC371D" w:rsidRDefault="00B944C2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C371D" w:rsidRPr="00CC371D" w:rsidRDefault="00CC371D" w:rsidP="00CC371D">
            <w:pPr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767AFA">
              <w:rPr>
                <w:color w:val="000000"/>
                <w:sz w:val="20"/>
                <w:szCs w:val="20"/>
                <w:lang w:val="pt-BR"/>
              </w:rPr>
              <w:t xml:space="preserve">4.1 [PROT. N° 782206-18] (Relator: A nomear.) </w:t>
            </w:r>
          </w:p>
        </w:tc>
      </w:tr>
      <w:tr w:rsidR="003D0E44" w:rsidRPr="00D30883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4C2" w:rsidRPr="00CC371D" w:rsidRDefault="00B944C2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4C2" w:rsidRPr="007B1294" w:rsidRDefault="007B1294" w:rsidP="007B1294">
            <w:pPr>
              <w:spacing w:line="288" w:lineRule="auto"/>
              <w:ind w:right="187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B1294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A Coordenadora da Comissão de Ética e Disciplina, Marília Palhares Machado, no uso de suas atribuições, através de sorteio, nome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ou</w:t>
            </w:r>
            <w:r w:rsidRPr="007B1294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Pr="007B1294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Conselheir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</w:t>
            </w: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7B1294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, para análise e parecer do processo a este protocolo vinculado.</w:t>
            </w:r>
            <w:r w:rsidR="00C526BC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 Conselheira Relatora emitiu </w:t>
            </w:r>
            <w:r w:rsidR="00C526BC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despacho solicitando a complementação da denúncia pelo denunciante.</w:t>
            </w:r>
          </w:p>
        </w:tc>
      </w:tr>
    </w:tbl>
    <w:p w:rsidR="00157CE1" w:rsidRPr="00CC371D" w:rsidRDefault="00157CE1" w:rsidP="00157CE1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CC371D" w:rsidRDefault="00157CE1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CC371D" w:rsidRDefault="00CC371D" w:rsidP="00CC371D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color w:val="000000" w:themeColor="text1"/>
                <w:sz w:val="20"/>
                <w:szCs w:val="20"/>
                <w:lang w:val="pt-BR"/>
              </w:rPr>
              <w:t xml:space="preserve">4.2 [PROT. Nº 785347-2018] (Relator: A nomear.) </w:t>
            </w:r>
          </w:p>
        </w:tc>
      </w:tr>
      <w:tr w:rsidR="00CC371D" w:rsidRPr="00D30883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CC371D" w:rsidRDefault="00157CE1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CC371D" w:rsidRDefault="007B1294" w:rsidP="00DE355C">
            <w:pPr>
              <w:spacing w:line="288" w:lineRule="auto"/>
              <w:ind w:right="187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7B1294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A Coordenadora da Comissão de Ética e Disciplina, Marília Palhares Machado, no uso de suas atribuições, através de sorteio, nome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ou</w:t>
            </w:r>
            <w:r w:rsidRPr="007B1294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Pr="007B1294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Conselheir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</w:t>
            </w:r>
            <w:r w:rsidRPr="007B1294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Machado, para análise e parecer do processo a este protocolo vinculado.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E355C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A Conselheira Relatora emitiu despacho solicitando a intimação do denunciado para apresentação de sua defesa prévia em um prazo de 10 dias.</w:t>
            </w:r>
          </w:p>
        </w:tc>
      </w:tr>
    </w:tbl>
    <w:p w:rsidR="00157CE1" w:rsidRPr="00CC371D" w:rsidRDefault="00157CE1" w:rsidP="00157CE1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CC371D" w:rsidRDefault="00157CE1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CC371D" w:rsidRDefault="00CC371D" w:rsidP="00CC371D">
            <w:pPr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9C613F">
              <w:rPr>
                <w:color w:val="000000"/>
                <w:sz w:val="20"/>
                <w:szCs w:val="20"/>
                <w:lang w:val="pt-BR"/>
              </w:rPr>
              <w:t>4.</w:t>
            </w:r>
            <w:r>
              <w:rPr>
                <w:color w:val="000000"/>
                <w:sz w:val="20"/>
                <w:szCs w:val="20"/>
                <w:lang w:val="pt-BR"/>
              </w:rPr>
              <w:t>3</w:t>
            </w:r>
            <w:r w:rsidRPr="009C613F">
              <w:rPr>
                <w:color w:val="000000"/>
                <w:sz w:val="20"/>
                <w:szCs w:val="20"/>
                <w:lang w:val="pt-BR"/>
              </w:rPr>
              <w:t xml:space="preserve"> [PROT. N° 775001/2018] (Relator: Cláudio de Melo Rocha.) </w:t>
            </w:r>
          </w:p>
        </w:tc>
      </w:tr>
      <w:tr w:rsidR="00CC371D" w:rsidRPr="00D30883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CC371D" w:rsidRDefault="00157CE1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CC371D" w:rsidRDefault="00831DE7" w:rsidP="0028650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Em razão da ausência justificada do Conselheiro Relator este processo será analisado na primeira reunião ordinária da CED/MG no ano de 2019.</w:t>
            </w:r>
          </w:p>
        </w:tc>
      </w:tr>
    </w:tbl>
    <w:p w:rsidR="007770AF" w:rsidRPr="003D0E44" w:rsidRDefault="007770AF" w:rsidP="007770AF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AF" w:rsidRPr="00CC371D" w:rsidRDefault="007770AF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770AF" w:rsidRPr="002B688F" w:rsidRDefault="00CC371D" w:rsidP="002B688F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color w:val="000000" w:themeColor="text1"/>
                <w:sz w:val="20"/>
                <w:szCs w:val="20"/>
                <w:lang w:val="pt-BR"/>
              </w:rPr>
              <w:t xml:space="preserve">4.4 [PROT. N° 775005/2018] (Relator: A ser nomeado.) </w:t>
            </w:r>
          </w:p>
        </w:tc>
      </w:tr>
      <w:tr w:rsidR="00CC371D" w:rsidRPr="00D30883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AF" w:rsidRPr="00CC371D" w:rsidRDefault="007770AF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AF" w:rsidRPr="00CC371D" w:rsidRDefault="00716299" w:rsidP="002B688F">
            <w:pPr>
              <w:pStyle w:val="PargrafodaLista"/>
              <w:widowControl/>
              <w:ind w:left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 Conselheira relatora emitiu o seguinte relato: “Considerando que as partes do processo residem no município de Itaúna e que o deslocamento de ambos para uma audiência de conciliação na sede do CAU/MG seria onerosa; Considerando que o denunciado reconheceu em sua defesa prévia à página 30 dos autos que a denúncia procede, comprometendo-se a ressarcir o denunciante lesado dos custos que levara a tal lesão; Considerando que o e-mail de 05 de dezembro de 2018 enviado pelo denunciado às 09h23min à Comissão de Ética e Disciplina do CAU/MG aponta seu compromisso em quitar o prejuízo causado ao denunciante. </w:t>
            </w:r>
            <w:r w:rsidR="002B688F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Considerando que a denúncia </w:t>
            </w:r>
            <w:proofErr w:type="gramStart"/>
            <w:r w:rsidR="002B688F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configura-se</w:t>
            </w:r>
            <w:proofErr w:type="gramEnd"/>
            <w:r w:rsidR="002B688F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como matéria conciliável; Considerando que há indícios de intenção de conciliação de ambas as partes.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Solicito</w:t>
            </w:r>
            <w:r w:rsidR="002B688F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: a)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B688F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que as partes sejam informadas sobre a possibilidade de conciliação; b)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o encaminhamento </w:t>
            </w:r>
            <w:r w:rsidR="002B688F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do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e-mail do denunciado, página 30 dos autos, à denunciante para que avalie a </w:t>
            </w:r>
            <w:r w:rsidR="002B688F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forma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de conciliação</w:t>
            </w:r>
            <w:r w:rsidR="002B688F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; c)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B688F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que seja concedido prazo de 30 dias corridos para a apresentação, por ambas as partes, dos termos de conciliação, sob pena de continuidade da denúncia ético-disciplinar. </w:t>
            </w:r>
          </w:p>
        </w:tc>
      </w:tr>
    </w:tbl>
    <w:p w:rsidR="007770AF" w:rsidRPr="00CC371D" w:rsidRDefault="007770AF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2C4F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CC371D" w:rsidRDefault="00993D72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93D72" w:rsidRPr="00CC371D" w:rsidRDefault="00CC371D" w:rsidP="00CC371D">
            <w:pPr>
              <w:widowControl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2668ED">
              <w:rPr>
                <w:color w:val="000000"/>
                <w:sz w:val="20"/>
                <w:szCs w:val="20"/>
                <w:lang w:val="pt-BR"/>
              </w:rPr>
              <w:t xml:space="preserve">4.5 [PROT. Nº 763944-2018] </w:t>
            </w:r>
            <w:r w:rsidRPr="009C613F">
              <w:rPr>
                <w:color w:val="000000"/>
                <w:sz w:val="20"/>
                <w:szCs w:val="20"/>
                <w:lang w:val="pt-BR"/>
              </w:rPr>
              <w:t xml:space="preserve">(Relator: Marília Palhares Machado.) </w:t>
            </w:r>
          </w:p>
        </w:tc>
      </w:tr>
      <w:tr w:rsidR="00CC371D" w:rsidRPr="00D30883" w:rsidTr="002C4F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CC371D" w:rsidRDefault="00993D72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72" w:rsidRPr="00F6460A" w:rsidRDefault="00972872" w:rsidP="008E5412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 Conselheira relatora </w:t>
            </w:r>
            <w:r w:rsidR="008E5412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apresentou o caso optando por apresentar um relatório circunstanciado na próxima reunião ordinária da CED/MG. </w:t>
            </w:r>
            <w:r w:rsidR="00F6460A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 </w:t>
            </w:r>
          </w:p>
        </w:tc>
      </w:tr>
    </w:tbl>
    <w:p w:rsidR="00DA34AD" w:rsidRPr="00CC371D" w:rsidRDefault="00DA34AD" w:rsidP="00DA34AD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CC371D" w:rsidRDefault="00DA34AD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CC371D" w:rsidRDefault="00CC371D" w:rsidP="00CC371D">
            <w:pPr>
              <w:widowControl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color w:val="000000" w:themeColor="text1"/>
                <w:sz w:val="20"/>
                <w:szCs w:val="20"/>
                <w:lang w:val="pt-BR"/>
              </w:rPr>
              <w:t xml:space="preserve">4.6 [PROT. Nº 759795-2018] (Relator: Cláudio de Melo Rocha.) </w:t>
            </w:r>
          </w:p>
        </w:tc>
      </w:tr>
      <w:tr w:rsidR="00CC371D" w:rsidRPr="00D30883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CC371D" w:rsidRDefault="00DA34AD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CC371D" w:rsidRDefault="00831DE7" w:rsidP="0028650B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Em razão da ausência justificada do Conselheiro Relator este processo será analisado na primeira reunião ordinária da CED/MG no ano de 2019.</w:t>
            </w:r>
          </w:p>
        </w:tc>
      </w:tr>
    </w:tbl>
    <w:p w:rsidR="00DA34AD" w:rsidRPr="003D0E44" w:rsidRDefault="00DA34AD" w:rsidP="00DA34AD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CC371D" w:rsidRDefault="00DA34AD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CC371D" w:rsidRDefault="00CC371D" w:rsidP="00CC371D">
            <w:pPr>
              <w:widowControl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color w:val="000000" w:themeColor="text1"/>
                <w:sz w:val="20"/>
                <w:szCs w:val="20"/>
                <w:lang w:val="pt-BR"/>
              </w:rPr>
              <w:t xml:space="preserve">4.7 [PROT. Nº 763255-2018] (Relator: Marília Palhares Machado.) </w:t>
            </w:r>
          </w:p>
        </w:tc>
      </w:tr>
      <w:tr w:rsidR="00CC371D" w:rsidRPr="00D30883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CC371D" w:rsidRDefault="00DA34AD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CC371D" w:rsidRDefault="000532B1" w:rsidP="00A12382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  <w:t>A Conselheira Relatora emitiu relato oral admitindo a denúncia</w:t>
            </w:r>
            <w:r w:rsidR="00431E1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por conta da manifestação do denunciado em sua </w:t>
            </w:r>
            <w:r w:rsid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  <w:t>defesa prévia</w:t>
            </w:r>
            <w:r w:rsidR="00431E1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O Relatório e respectivo voto escrito será emitido na próxima reunião ordinária da CED/MG. </w:t>
            </w:r>
          </w:p>
        </w:tc>
      </w:tr>
    </w:tbl>
    <w:p w:rsidR="00DA34AD" w:rsidRPr="003D0E44" w:rsidRDefault="00DA34AD" w:rsidP="00DA34AD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CC371D" w:rsidRDefault="00DA34AD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CC371D" w:rsidRDefault="00CC371D" w:rsidP="00CC371D">
            <w:pPr>
              <w:widowControl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color w:val="000000" w:themeColor="text1"/>
                <w:sz w:val="20"/>
                <w:szCs w:val="20"/>
                <w:lang w:val="pt-BR"/>
              </w:rPr>
              <w:t xml:space="preserve">4.8 [PROT. Nº 763261-2018] (Relator: Cecilia Maria Rabelo Geraldo.) </w:t>
            </w:r>
          </w:p>
        </w:tc>
      </w:tr>
      <w:tr w:rsidR="00CC371D" w:rsidRPr="00D30883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CC371D" w:rsidRDefault="00DA34AD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CC371D" w:rsidRDefault="007B2438" w:rsidP="007B2438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A Conselheira Relatora emitiu relato oral inadmitindo a denúncia ético-disciplinar, considerando que não há documentação comprobatória na denúncia que comprove que a obra não foi executada conforme o projeto da denunciada. Ademais, procede o apontamento do denunciante de que a arquiteta deveria ter emitido o RRT da atividade técnica contratada à época do desenvolvimento do trabalho. No entanto, tratando-se a ausência de RRT uma infração de exercício profissional, foi identificado que a </w:t>
            </w:r>
            <w:proofErr w:type="gramStart"/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  <w:t>fiscalização  do</w:t>
            </w:r>
            <w:proofErr w:type="gramEnd"/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CAU/MG procedeu com a Notificação n° </w:t>
            </w:r>
            <w:r w:rsidRPr="007B2438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1000076093/2018,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resultando na emissão do devido RRT extemporâneo pela arquiteta e urbanista denunciada. O Relatório e respectivo voto escrito será emitido na próxima reunião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ordinária da CED/MG.</w:t>
            </w:r>
          </w:p>
        </w:tc>
      </w:tr>
    </w:tbl>
    <w:p w:rsidR="003539B4" w:rsidRPr="003D0E44" w:rsidRDefault="003539B4" w:rsidP="003539B4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CC371D" w:rsidRDefault="003539B4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3539B4" w:rsidRPr="00CC371D" w:rsidRDefault="00CC371D" w:rsidP="00CC371D">
            <w:pPr>
              <w:pStyle w:val="PargrafodaLista"/>
              <w:widowControl/>
              <w:ind w:left="0"/>
              <w:contextualSpacing/>
              <w:rPr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color w:val="000000" w:themeColor="text1"/>
                <w:sz w:val="20"/>
                <w:szCs w:val="20"/>
                <w:lang w:val="pt-BR"/>
              </w:rPr>
              <w:t xml:space="preserve">4.9 [PROT. N° 715263/2018] (Relator: Cecilia Maria Rabelo Geraldo.) </w:t>
            </w:r>
          </w:p>
        </w:tc>
      </w:tr>
      <w:tr w:rsidR="00CC371D" w:rsidRPr="00D30883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CC371D" w:rsidRDefault="003539B4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B4" w:rsidRPr="00CC371D" w:rsidRDefault="009F40CF" w:rsidP="009F40CF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 CED/MG emitiu a Deliberação n° 25/2018, deliberando:</w:t>
            </w:r>
            <w:r w:rsidRPr="009F40C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“Por solicitar ao Presidente do CAU/MG que providencie Laudo Técnico a respeito da situação apresentada pela Moção de Repúdio do Conselho Municipal dos Direitos da Pessoa com Deficiência relativa às alterações arquitetônicas decorrentes da recente obra de reforma realizada no plenário </w:t>
            </w:r>
            <w:proofErr w:type="spellStart"/>
            <w:r w:rsidRPr="009F40C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Amynthas</w:t>
            </w:r>
            <w:proofErr w:type="spellEnd"/>
            <w:r w:rsidRPr="009F40C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de Barros, da Câmara Municipal de Belo </w:t>
            </w:r>
            <w:proofErr w:type="gramStart"/>
            <w:r w:rsidRPr="009F40C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Horizonte.”</w:t>
            </w:r>
            <w:proofErr w:type="gramEnd"/>
            <w:r w:rsidRPr="009F40C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539B4" w:rsidRPr="003D0E44" w:rsidRDefault="003539B4" w:rsidP="003539B4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CC371D" w:rsidRDefault="003539B4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3539B4" w:rsidRPr="00CC371D" w:rsidRDefault="00CC371D" w:rsidP="003539B4">
            <w:pPr>
              <w:jc w:val="both"/>
              <w:rPr>
                <w:color w:val="000000" w:themeColor="text1"/>
                <w:lang w:val="pt-BR"/>
              </w:rPr>
            </w:pPr>
            <w:r w:rsidRPr="00CC371D">
              <w:rPr>
                <w:color w:val="000000" w:themeColor="text1"/>
                <w:sz w:val="20"/>
                <w:szCs w:val="20"/>
                <w:lang w:val="pt-BR"/>
              </w:rPr>
              <w:t xml:space="preserve">4.10 [PROT. N° 646677/2018] (Relator: Cecilia Maria Rabelo Geraldo.) </w:t>
            </w:r>
          </w:p>
        </w:tc>
      </w:tr>
      <w:tr w:rsidR="00CC371D" w:rsidRPr="00D30883" w:rsidTr="0028650B">
        <w:trPr>
          <w:trHeight w:val="997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CC371D" w:rsidRDefault="003539B4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B4" w:rsidRPr="00CC371D" w:rsidRDefault="008E5412" w:rsidP="008E5412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Considerando que as alegações finais das partes foram apresentadas na véspera desta reunião ordinária e que não houve prazo hábil para a análise, este processo será relatado na primeira reunião ordinária da CED/MG no ano de 2019.</w:t>
            </w:r>
          </w:p>
        </w:tc>
      </w:tr>
    </w:tbl>
    <w:p w:rsidR="003539B4" w:rsidRPr="003D0E44" w:rsidRDefault="003539B4" w:rsidP="001E2F6F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08383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CC371D" w:rsidRDefault="001E2F6F" w:rsidP="0008383C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E2F6F" w:rsidRPr="00CC371D" w:rsidRDefault="00CC371D" w:rsidP="00CB4DEF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color w:val="000000" w:themeColor="text1"/>
                <w:sz w:val="20"/>
                <w:szCs w:val="20"/>
                <w:lang w:val="pt-BR"/>
              </w:rPr>
              <w:t xml:space="preserve">4.11 [PROT. 633608-2018] (Relator: Cláudio de Melo Rocha.) </w:t>
            </w:r>
          </w:p>
        </w:tc>
      </w:tr>
      <w:tr w:rsidR="00CC371D" w:rsidRPr="00D30883" w:rsidTr="0008383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CC371D" w:rsidRDefault="001E2F6F" w:rsidP="0008383C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6F" w:rsidRPr="00CC371D" w:rsidRDefault="00831DE7" w:rsidP="00AF285A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Em razão da ausência justificada do Conselheiro Relator este processo será analisado na primeira reunião ordinária da CED/MG no ano de 2019.</w:t>
            </w:r>
          </w:p>
        </w:tc>
      </w:tr>
    </w:tbl>
    <w:p w:rsidR="001E2F6F" w:rsidRPr="003D0E44" w:rsidRDefault="001E2F6F" w:rsidP="001E2F6F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08383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CC371D" w:rsidRDefault="001E2F6F" w:rsidP="0008383C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E2F6F" w:rsidRPr="00CC371D" w:rsidRDefault="00CC371D" w:rsidP="00BB65B2">
            <w:pPr>
              <w:jc w:val="both"/>
              <w:rPr>
                <w:color w:val="000000" w:themeColor="text1"/>
                <w:lang w:val="pt-BR"/>
              </w:rPr>
            </w:pPr>
            <w:r w:rsidRPr="00CC371D">
              <w:rPr>
                <w:color w:val="000000" w:themeColor="text1"/>
                <w:sz w:val="20"/>
                <w:szCs w:val="20"/>
                <w:lang w:val="pt-BR"/>
              </w:rPr>
              <w:t xml:space="preserve">4.12 [PROT. Nº 633364-2018] (Relator: Claudio de Melo Rocha.) </w:t>
            </w:r>
          </w:p>
        </w:tc>
      </w:tr>
      <w:tr w:rsidR="00CC371D" w:rsidRPr="00D30883" w:rsidTr="0008383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CC371D" w:rsidRDefault="001E2F6F" w:rsidP="0008383C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6F" w:rsidRPr="00CC371D" w:rsidRDefault="00831DE7" w:rsidP="0008383C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Em razão da ausência justificada do Conselheiro Relator este processo será analisado na primeira reunião ordinária da CED/MG no ano de 2019.</w:t>
            </w:r>
          </w:p>
        </w:tc>
      </w:tr>
    </w:tbl>
    <w:p w:rsidR="00015630" w:rsidRDefault="00015630" w:rsidP="00B5446B">
      <w:pPr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CC371D" w:rsidRDefault="00CC371D" w:rsidP="00CC371D">
      <w:pPr>
        <w:jc w:val="both"/>
        <w:rPr>
          <w:b/>
          <w:color w:val="000000"/>
          <w:sz w:val="20"/>
          <w:szCs w:val="20"/>
          <w:lang w:val="pt-BR"/>
        </w:rPr>
      </w:pPr>
      <w:r>
        <w:rPr>
          <w:b/>
          <w:color w:val="000000"/>
          <w:sz w:val="20"/>
          <w:szCs w:val="20"/>
          <w:lang w:val="pt-BR"/>
        </w:rPr>
        <w:t>Processos não pautados e relacionados apenas para controle:</w:t>
      </w:r>
    </w:p>
    <w:p w:rsidR="00CC371D" w:rsidRPr="003D0E44" w:rsidRDefault="00CC371D" w:rsidP="00CC371D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8D0023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71D" w:rsidRPr="00CC371D" w:rsidRDefault="00CC371D" w:rsidP="008D0023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C371D" w:rsidRPr="00CC371D" w:rsidRDefault="00CC371D" w:rsidP="00CC371D">
            <w:pPr>
              <w:widowControl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AE07AE">
              <w:rPr>
                <w:color w:val="000000"/>
                <w:sz w:val="20"/>
                <w:szCs w:val="20"/>
                <w:lang w:val="pt-BR"/>
              </w:rPr>
              <w:t xml:space="preserve">[PROT. N° 750724/2018] </w:t>
            </w:r>
            <w:r w:rsidRPr="00FC53CC">
              <w:rPr>
                <w:color w:val="000000"/>
                <w:sz w:val="20"/>
                <w:szCs w:val="20"/>
                <w:lang w:val="pt-BR"/>
              </w:rPr>
              <w:t xml:space="preserve">(Relator: Cecília Maria Rabelo Geraldo.) </w:t>
            </w:r>
          </w:p>
        </w:tc>
      </w:tr>
      <w:tr w:rsidR="00CC371D" w:rsidRPr="00D30883" w:rsidTr="008D0023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71D" w:rsidRPr="00CC371D" w:rsidRDefault="00CC371D" w:rsidP="008D0023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71D" w:rsidRPr="00CC371D" w:rsidRDefault="00CC371D" w:rsidP="00CC371D">
            <w:pPr>
              <w:jc w:val="both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Denúncia não pautada, posto que a</w:t>
            </w:r>
            <w:r w:rsidRPr="00FC53CC">
              <w:rPr>
                <w:color w:val="000000"/>
                <w:sz w:val="20"/>
                <w:szCs w:val="20"/>
                <w:lang w:val="pt-BR"/>
              </w:rPr>
              <w:t xml:space="preserve"> parte não foi de imediato intimada por conta de dados cadastrais desatualizados perante o CAU. A parte foi localizada e intimada no dia 04/12/2018 e poss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ui 10 dias para manifestar-se. </w:t>
            </w:r>
          </w:p>
        </w:tc>
      </w:tr>
    </w:tbl>
    <w:p w:rsidR="00CC371D" w:rsidRPr="003D0E44" w:rsidRDefault="00CC371D" w:rsidP="00CC371D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C371D" w:rsidRPr="00D30883" w:rsidTr="008D0023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71D" w:rsidRPr="00CC371D" w:rsidRDefault="00CC371D" w:rsidP="008D0023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C371D" w:rsidRPr="00CC371D" w:rsidRDefault="00CC371D" w:rsidP="00CC371D">
            <w:pPr>
              <w:widowControl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AE07AE">
              <w:rPr>
                <w:color w:val="000000"/>
                <w:sz w:val="20"/>
                <w:szCs w:val="20"/>
                <w:lang w:val="pt-BR"/>
              </w:rPr>
              <w:t xml:space="preserve">[PROT. N° 660283/2018] </w:t>
            </w:r>
            <w:r w:rsidRPr="00B076F0">
              <w:rPr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AE07AE">
              <w:rPr>
                <w:color w:val="000000"/>
                <w:sz w:val="20"/>
                <w:szCs w:val="20"/>
                <w:lang w:val="pt-BR"/>
              </w:rPr>
              <w:t>Marília Palhares Machado</w:t>
            </w:r>
            <w:r w:rsidRPr="00B076F0">
              <w:rPr>
                <w:color w:val="000000"/>
                <w:sz w:val="20"/>
                <w:szCs w:val="20"/>
                <w:lang w:val="pt-BR"/>
              </w:rPr>
              <w:t xml:space="preserve">.) </w:t>
            </w:r>
          </w:p>
        </w:tc>
      </w:tr>
      <w:tr w:rsidR="00CC371D" w:rsidRPr="00D30883" w:rsidTr="008D0023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71D" w:rsidRPr="00CC371D" w:rsidRDefault="00CC371D" w:rsidP="008D0023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C371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71D" w:rsidRPr="00CC371D" w:rsidRDefault="00CC371D" w:rsidP="00CC371D">
            <w:pPr>
              <w:jc w:val="both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Denúncia não pautada, posto que a</w:t>
            </w:r>
            <w:r w:rsidRPr="00FC53CC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t-BR"/>
              </w:rPr>
              <w:t>f</w:t>
            </w:r>
            <w:r w:rsidRPr="00B076F0">
              <w:rPr>
                <w:color w:val="000000"/>
                <w:sz w:val="20"/>
                <w:szCs w:val="20"/>
                <w:lang w:val="pt-BR"/>
              </w:rPr>
              <w:t>oi marcada audiência de conciliação para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o dia 06/02/2019, às 10h00min.</w:t>
            </w:r>
          </w:p>
        </w:tc>
      </w:tr>
    </w:tbl>
    <w:p w:rsidR="00CC371D" w:rsidRPr="003D0E44" w:rsidRDefault="00CC371D" w:rsidP="00B5446B">
      <w:pPr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D47128" w:rsidRPr="00A12382" w:rsidRDefault="007C07C3" w:rsidP="00B5446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CC371D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3D0E44" w:rsidRPr="003D0E44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CC371D" w:rsidRDefault="00DF0D04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CC371D" w:rsidRDefault="00DF0D04" w:rsidP="00B5446B">
            <w:pPr>
              <w:pStyle w:val="PargrafodaLista"/>
              <w:widowControl/>
              <w:numPr>
                <w:ilvl w:val="0"/>
                <w:numId w:val="45"/>
              </w:numPr>
              <w:suppressLineNumbers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3D0E44" w:rsidRPr="00D30883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3D0E44" w:rsidRDefault="007A22B0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CC371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3D0E44" w:rsidRDefault="00E106D3" w:rsidP="00D30883">
            <w:pPr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 reunião</w:t>
            </w:r>
            <w:r w:rsidR="000532B1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entrou em intervalo para almoço às 13h17min e </w:t>
            </w:r>
            <w:bookmarkStart w:id="0" w:name="_GoBack"/>
            <w:bookmarkEnd w:id="0"/>
            <w:r w:rsidR="000532B1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retornou às 1</w:t>
            </w:r>
            <w:r w:rsidR="00D3088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="000532B1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h20min.</w:t>
            </w:r>
            <w:r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0532B1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reunião </w:t>
            </w:r>
            <w:r w:rsidR="00E51BD8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finalizou-se às </w:t>
            </w:r>
            <w:r w:rsidR="007A22B0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="00A12382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8</w:t>
            </w:r>
            <w:r w:rsidR="007A22B0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A12382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0</w:t>
            </w:r>
            <w:r w:rsidR="000532B1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0</w:t>
            </w:r>
            <w:r w:rsidR="007A22B0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min, </w:t>
            </w:r>
            <w:r w:rsidR="00C17DED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 C</w:t>
            </w:r>
            <w:r w:rsidR="007A22B0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oordenadora Marília Palhares Machado encerrou a 1</w:t>
            </w:r>
            <w:r w:rsidR="00D47128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0532B1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7A22B0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ª Reunião da Comissão e Ética e Disciplina do CAU/MG. Para os devidos fins, eu, </w:t>
            </w:r>
            <w:r w:rsidR="00D931E3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Diogo Ubaldo Braga</w:t>
            </w:r>
            <w:r w:rsidR="007A22B0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="00D931E3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Arquiteto Analista </w:t>
            </w:r>
            <w:r w:rsidR="000B402E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do CAU/MG</w:t>
            </w:r>
            <w:r w:rsidR="00D931E3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Assessor da CED/MG</w:t>
            </w:r>
            <w:r w:rsidR="007A22B0" w:rsidRPr="00A1238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, lavrei esta Súmula.</w:t>
            </w:r>
          </w:p>
        </w:tc>
      </w:tr>
    </w:tbl>
    <w:p w:rsidR="00CA09AA" w:rsidRPr="003D0E44" w:rsidRDefault="00CA09AA" w:rsidP="00B5446B">
      <w:pPr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7A22B0" w:rsidRPr="00A12382" w:rsidRDefault="007A22B0" w:rsidP="00B5446B">
      <w:pPr>
        <w:jc w:val="both"/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</w:pPr>
      <w:r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>Marília Palhares Machado</w:t>
      </w: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                      </w:t>
      </w:r>
      <w:r w:rsidR="00B76CE6"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    </w:t>
      </w: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          ____________________________________</w:t>
      </w:r>
    </w:p>
    <w:p w:rsidR="00255840" w:rsidRPr="00A12382" w:rsidRDefault="007A22B0" w:rsidP="00B5446B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</w:pP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>Coordenadora da CED-CAU/MG</w:t>
      </w:r>
      <w:r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  </w:t>
      </w:r>
    </w:p>
    <w:p w:rsidR="0008552C" w:rsidRPr="00A12382" w:rsidRDefault="0008552C" w:rsidP="00B5446B">
      <w:pPr>
        <w:jc w:val="both"/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</w:pPr>
      <w:r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Cecília Maria Rabelo Geraldo                     </w:t>
      </w:r>
      <w:r w:rsidR="00134826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</w:t>
      </w:r>
      <w:r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</w:t>
      </w:r>
      <w:r w:rsidRPr="00A12382">
        <w:rPr>
          <w:rFonts w:asciiTheme="minorHAnsi" w:hAnsiTheme="minorHAnsi" w:cs="Times New Roman"/>
          <w:color w:val="000000" w:themeColor="text1"/>
          <w:sz w:val="18"/>
          <w:szCs w:val="20"/>
          <w:shd w:val="clear" w:color="auto" w:fill="FFFFFF"/>
          <w:lang w:val="pt-BR"/>
        </w:rPr>
        <w:t> </w:t>
      </w: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 ____________________________________ </w:t>
      </w:r>
    </w:p>
    <w:p w:rsidR="0008552C" w:rsidRPr="00A12382" w:rsidRDefault="0008552C" w:rsidP="00B5446B">
      <w:pPr>
        <w:jc w:val="both"/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</w:pP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Coordenadora Adjunta da CED-CAU/MG </w:t>
      </w:r>
    </w:p>
    <w:p w:rsidR="0008552C" w:rsidRPr="00A12382" w:rsidRDefault="0008552C" w:rsidP="00B5446B">
      <w:pPr>
        <w:jc w:val="both"/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</w:pPr>
    </w:p>
    <w:p w:rsidR="007A22B0" w:rsidRPr="00A12382" w:rsidRDefault="006D04E9" w:rsidP="00B5446B">
      <w:pPr>
        <w:jc w:val="both"/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</w:pPr>
      <w:r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>Luzia Edvan de Oliveira</w:t>
      </w:r>
      <w:r w:rsidR="007A22B0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</w:t>
      </w:r>
      <w:r w:rsidR="00A75DA4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                     </w:t>
      </w:r>
      <w:r w:rsidR="00B76CE6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</w:t>
      </w:r>
      <w:r w:rsidR="00A75DA4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</w:t>
      </w:r>
      <w:r w:rsidR="00255840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</w:t>
      </w:r>
      <w:r w:rsidR="00A75DA4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</w:t>
      </w:r>
      <w:r w:rsidR="007A22B0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</w:t>
      </w:r>
      <w:r w:rsidR="007A22B0"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____________________________________     </w:t>
      </w:r>
      <w:r w:rsidR="007A22B0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                      </w:t>
      </w:r>
    </w:p>
    <w:p w:rsidR="007A22B0" w:rsidRPr="00A12382" w:rsidRDefault="007A22B0" w:rsidP="00B5446B">
      <w:pPr>
        <w:jc w:val="both"/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</w:pP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>Conselheir</w:t>
      </w:r>
      <w:r w:rsidR="006D04E9"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>a</w:t>
      </w: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 </w:t>
      </w:r>
      <w:r w:rsidR="006D04E9"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>Suplente</w:t>
      </w: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 da CED-CAU/MG               </w:t>
      </w:r>
    </w:p>
    <w:p w:rsidR="007A22B0" w:rsidRPr="00A12382" w:rsidRDefault="007A22B0" w:rsidP="00B5446B">
      <w:pPr>
        <w:jc w:val="both"/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</w:pP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ab/>
      </w: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ab/>
      </w: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ab/>
      </w:r>
      <w:r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ab/>
      </w:r>
    </w:p>
    <w:p w:rsidR="007A22B0" w:rsidRPr="00A12382" w:rsidRDefault="00D931E3" w:rsidP="00B5446B">
      <w:pPr>
        <w:jc w:val="both"/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</w:pPr>
      <w:r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Diogo Ubaldo Braga   </w:t>
      </w:r>
      <w:r w:rsidR="007A22B0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     </w:t>
      </w:r>
      <w:r w:rsidR="00271B8A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               </w:t>
      </w:r>
      <w:r w:rsidR="007766D2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</w:t>
      </w:r>
      <w:r w:rsidR="00E51BD8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 </w:t>
      </w:r>
      <w:r w:rsidR="007766D2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</w:t>
      </w:r>
      <w:r w:rsidR="005C5004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</w:t>
      </w:r>
      <w:r w:rsidR="00255840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</w:t>
      </w:r>
      <w:r w:rsidR="007766D2" w:rsidRPr="00A12382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</w:t>
      </w:r>
      <w:r w:rsidR="007A22B0" w:rsidRPr="00A12382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>____________________________________</w:t>
      </w:r>
    </w:p>
    <w:p w:rsidR="00D2110C" w:rsidRPr="00CC371D" w:rsidRDefault="00D931E3" w:rsidP="00B544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CC371D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Arquiteto Analista do CAU/MG</w:t>
      </w:r>
      <w:r w:rsidRPr="00CC371D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564D2B" w:rsidRPr="00CC371D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- </w:t>
      </w:r>
      <w:r w:rsidR="007A22B0" w:rsidRPr="00CC371D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CAU/MG                </w:t>
      </w:r>
      <w:r w:rsidR="007766D2" w:rsidRPr="00CC371D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CC371D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</w:t>
      </w:r>
    </w:p>
    <w:sectPr w:rsidR="00D2110C" w:rsidRPr="00CC371D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F6" w:rsidRDefault="009174F6" w:rsidP="007E22C9">
      <w:r>
        <w:separator/>
      </w:r>
    </w:p>
  </w:endnote>
  <w:endnote w:type="continuationSeparator" w:id="0">
    <w:p w:rsidR="009174F6" w:rsidRDefault="009174F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F6" w:rsidRDefault="009174F6" w:rsidP="007E22C9">
      <w:r>
        <w:separator/>
      </w:r>
    </w:p>
  </w:footnote>
  <w:footnote w:type="continuationSeparator" w:id="0">
    <w:p w:rsidR="009174F6" w:rsidRDefault="009174F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D30883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07CE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CEC" w:rsidRPr="00007CEC" w:rsidRDefault="00007CE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D30883" w:rsidRPr="00D30883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07CEC" w:rsidRPr="00007CEC" w:rsidRDefault="00007CE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D30883" w:rsidRPr="00D30883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461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930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67E50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044BCD"/>
    <w:multiLevelType w:val="multilevel"/>
    <w:tmpl w:val="6DC6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51454D"/>
    <w:multiLevelType w:val="multilevel"/>
    <w:tmpl w:val="9E16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 w15:restartNumberingAfterBreak="0">
    <w:nsid w:val="409544D8"/>
    <w:multiLevelType w:val="hybridMultilevel"/>
    <w:tmpl w:val="F29856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 w15:restartNumberingAfterBreak="0">
    <w:nsid w:val="48B46B93"/>
    <w:multiLevelType w:val="hybridMultilevel"/>
    <w:tmpl w:val="005E4FAE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 w15:restartNumberingAfterBreak="0">
    <w:nsid w:val="71D135FC"/>
    <w:multiLevelType w:val="hybridMultilevel"/>
    <w:tmpl w:val="C842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6"/>
  </w:num>
  <w:num w:numId="2">
    <w:abstractNumId w:val="46"/>
  </w:num>
  <w:num w:numId="3">
    <w:abstractNumId w:val="6"/>
  </w:num>
  <w:num w:numId="4">
    <w:abstractNumId w:val="25"/>
  </w:num>
  <w:num w:numId="5">
    <w:abstractNumId w:val="11"/>
  </w:num>
  <w:num w:numId="6">
    <w:abstractNumId w:val="4"/>
  </w:num>
  <w:num w:numId="7">
    <w:abstractNumId w:val="45"/>
  </w:num>
  <w:num w:numId="8">
    <w:abstractNumId w:val="1"/>
  </w:num>
  <w:num w:numId="9">
    <w:abstractNumId w:val="3"/>
  </w:num>
  <w:num w:numId="10">
    <w:abstractNumId w:val="23"/>
  </w:num>
  <w:num w:numId="11">
    <w:abstractNumId w:val="43"/>
  </w:num>
  <w:num w:numId="12">
    <w:abstractNumId w:val="12"/>
  </w:num>
  <w:num w:numId="13">
    <w:abstractNumId w:val="28"/>
  </w:num>
  <w:num w:numId="14">
    <w:abstractNumId w:val="47"/>
  </w:num>
  <w:num w:numId="15">
    <w:abstractNumId w:val="17"/>
  </w:num>
  <w:num w:numId="16">
    <w:abstractNumId w:val="40"/>
  </w:num>
  <w:num w:numId="17">
    <w:abstractNumId w:val="10"/>
  </w:num>
  <w:num w:numId="18">
    <w:abstractNumId w:val="21"/>
  </w:num>
  <w:num w:numId="19">
    <w:abstractNumId w:val="33"/>
  </w:num>
  <w:num w:numId="20">
    <w:abstractNumId w:val="16"/>
  </w:num>
  <w:num w:numId="21">
    <w:abstractNumId w:val="34"/>
  </w:num>
  <w:num w:numId="22">
    <w:abstractNumId w:val="0"/>
  </w:num>
  <w:num w:numId="23">
    <w:abstractNumId w:val="7"/>
  </w:num>
  <w:num w:numId="24">
    <w:abstractNumId w:val="44"/>
  </w:num>
  <w:num w:numId="25">
    <w:abstractNumId w:val="2"/>
  </w:num>
  <w:num w:numId="26">
    <w:abstractNumId w:val="35"/>
  </w:num>
  <w:num w:numId="27">
    <w:abstractNumId w:val="37"/>
  </w:num>
  <w:num w:numId="28">
    <w:abstractNumId w:val="30"/>
  </w:num>
  <w:num w:numId="29">
    <w:abstractNumId w:val="32"/>
  </w:num>
  <w:num w:numId="30">
    <w:abstractNumId w:val="8"/>
  </w:num>
  <w:num w:numId="31">
    <w:abstractNumId w:val="9"/>
  </w:num>
  <w:num w:numId="32">
    <w:abstractNumId w:val="24"/>
  </w:num>
  <w:num w:numId="33">
    <w:abstractNumId w:val="36"/>
  </w:num>
  <w:num w:numId="34">
    <w:abstractNumId w:val="31"/>
  </w:num>
  <w:num w:numId="35">
    <w:abstractNumId w:val="13"/>
  </w:num>
  <w:num w:numId="36">
    <w:abstractNumId w:val="39"/>
  </w:num>
  <w:num w:numId="37">
    <w:abstractNumId w:val="38"/>
  </w:num>
  <w:num w:numId="38">
    <w:abstractNumId w:val="42"/>
  </w:num>
  <w:num w:numId="39">
    <w:abstractNumId w:val="29"/>
  </w:num>
  <w:num w:numId="40">
    <w:abstractNumId w:val="41"/>
  </w:num>
  <w:num w:numId="41">
    <w:abstractNumId w:val="20"/>
  </w:num>
  <w:num w:numId="42">
    <w:abstractNumId w:val="27"/>
  </w:num>
  <w:num w:numId="43">
    <w:abstractNumId w:val="19"/>
  </w:num>
  <w:num w:numId="44">
    <w:abstractNumId w:val="14"/>
  </w:num>
  <w:num w:numId="45">
    <w:abstractNumId w:val="22"/>
  </w:num>
  <w:num w:numId="46">
    <w:abstractNumId w:val="15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7CEC"/>
    <w:rsid w:val="0001267F"/>
    <w:rsid w:val="00013C5D"/>
    <w:rsid w:val="00015630"/>
    <w:rsid w:val="00015D6E"/>
    <w:rsid w:val="00017C97"/>
    <w:rsid w:val="00020089"/>
    <w:rsid w:val="0002079E"/>
    <w:rsid w:val="00022C6B"/>
    <w:rsid w:val="0003412C"/>
    <w:rsid w:val="00034308"/>
    <w:rsid w:val="00047DD5"/>
    <w:rsid w:val="00050A22"/>
    <w:rsid w:val="000532B1"/>
    <w:rsid w:val="0005447A"/>
    <w:rsid w:val="00054997"/>
    <w:rsid w:val="00056417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B02A4"/>
    <w:rsid w:val="000B0760"/>
    <w:rsid w:val="000B1835"/>
    <w:rsid w:val="000B3E05"/>
    <w:rsid w:val="000B402E"/>
    <w:rsid w:val="000B512F"/>
    <w:rsid w:val="000B6AFF"/>
    <w:rsid w:val="000C0F53"/>
    <w:rsid w:val="000C4F5D"/>
    <w:rsid w:val="000C6513"/>
    <w:rsid w:val="000D0766"/>
    <w:rsid w:val="000D36A2"/>
    <w:rsid w:val="000E4011"/>
    <w:rsid w:val="000E6C9F"/>
    <w:rsid w:val="000E7551"/>
    <w:rsid w:val="000F1656"/>
    <w:rsid w:val="000F2626"/>
    <w:rsid w:val="000F3838"/>
    <w:rsid w:val="000F5285"/>
    <w:rsid w:val="000F538A"/>
    <w:rsid w:val="000F5BE7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5F"/>
    <w:rsid w:val="001270DF"/>
    <w:rsid w:val="00134826"/>
    <w:rsid w:val="00135AA6"/>
    <w:rsid w:val="00135FA0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76D2B"/>
    <w:rsid w:val="00180DE0"/>
    <w:rsid w:val="001811CC"/>
    <w:rsid w:val="00182E2B"/>
    <w:rsid w:val="00184E97"/>
    <w:rsid w:val="001855A5"/>
    <w:rsid w:val="0018741A"/>
    <w:rsid w:val="001874D6"/>
    <w:rsid w:val="00191438"/>
    <w:rsid w:val="0019171E"/>
    <w:rsid w:val="0019454A"/>
    <w:rsid w:val="001954D4"/>
    <w:rsid w:val="0019591B"/>
    <w:rsid w:val="00197B0E"/>
    <w:rsid w:val="001A09F1"/>
    <w:rsid w:val="001A1905"/>
    <w:rsid w:val="001A63D9"/>
    <w:rsid w:val="001A6991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374E"/>
    <w:rsid w:val="00205810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2052"/>
    <w:rsid w:val="00243289"/>
    <w:rsid w:val="00243F30"/>
    <w:rsid w:val="00244603"/>
    <w:rsid w:val="0024526A"/>
    <w:rsid w:val="002500F7"/>
    <w:rsid w:val="00253111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81BE9"/>
    <w:rsid w:val="00282A92"/>
    <w:rsid w:val="0028590F"/>
    <w:rsid w:val="00297678"/>
    <w:rsid w:val="002A1C0B"/>
    <w:rsid w:val="002A4D60"/>
    <w:rsid w:val="002A5110"/>
    <w:rsid w:val="002A5692"/>
    <w:rsid w:val="002B40EF"/>
    <w:rsid w:val="002B688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303B32"/>
    <w:rsid w:val="00305325"/>
    <w:rsid w:val="00306280"/>
    <w:rsid w:val="0030751B"/>
    <w:rsid w:val="00310067"/>
    <w:rsid w:val="00310172"/>
    <w:rsid w:val="00322840"/>
    <w:rsid w:val="003265F3"/>
    <w:rsid w:val="00335731"/>
    <w:rsid w:val="00344A3F"/>
    <w:rsid w:val="00352B82"/>
    <w:rsid w:val="003539B4"/>
    <w:rsid w:val="003606B5"/>
    <w:rsid w:val="00362D2C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D0E44"/>
    <w:rsid w:val="003D0FC8"/>
    <w:rsid w:val="003D1097"/>
    <w:rsid w:val="003D1B89"/>
    <w:rsid w:val="003D331E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5AA7"/>
    <w:rsid w:val="003F74DB"/>
    <w:rsid w:val="003F7EF7"/>
    <w:rsid w:val="00401633"/>
    <w:rsid w:val="00403C23"/>
    <w:rsid w:val="00406528"/>
    <w:rsid w:val="004078C3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52713"/>
    <w:rsid w:val="00452E2F"/>
    <w:rsid w:val="00454788"/>
    <w:rsid w:val="00454C7C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3453"/>
    <w:rsid w:val="0049454C"/>
    <w:rsid w:val="0049457E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5D27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A6AC6"/>
    <w:rsid w:val="005B04BD"/>
    <w:rsid w:val="005B1BF4"/>
    <w:rsid w:val="005B2089"/>
    <w:rsid w:val="005B4909"/>
    <w:rsid w:val="005C0859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600DD6"/>
    <w:rsid w:val="00601495"/>
    <w:rsid w:val="006015F2"/>
    <w:rsid w:val="00603A18"/>
    <w:rsid w:val="006051A4"/>
    <w:rsid w:val="00606885"/>
    <w:rsid w:val="00607E91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52741"/>
    <w:rsid w:val="006530EA"/>
    <w:rsid w:val="006550F8"/>
    <w:rsid w:val="0066076D"/>
    <w:rsid w:val="0066412F"/>
    <w:rsid w:val="00665299"/>
    <w:rsid w:val="00667B85"/>
    <w:rsid w:val="00673D63"/>
    <w:rsid w:val="0067602F"/>
    <w:rsid w:val="0068017D"/>
    <w:rsid w:val="006804BE"/>
    <w:rsid w:val="00682199"/>
    <w:rsid w:val="006847FF"/>
    <w:rsid w:val="00686075"/>
    <w:rsid w:val="00692271"/>
    <w:rsid w:val="00694252"/>
    <w:rsid w:val="006966BA"/>
    <w:rsid w:val="006B4593"/>
    <w:rsid w:val="006B4EA5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4BBA"/>
    <w:rsid w:val="006E6DC9"/>
    <w:rsid w:val="006E6E00"/>
    <w:rsid w:val="006F1653"/>
    <w:rsid w:val="006F3339"/>
    <w:rsid w:val="006F5238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70AF"/>
    <w:rsid w:val="0077777C"/>
    <w:rsid w:val="00777E08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2E3A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69E7"/>
    <w:rsid w:val="00882FA4"/>
    <w:rsid w:val="008843D6"/>
    <w:rsid w:val="00894F54"/>
    <w:rsid w:val="00895D6C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61C0"/>
    <w:rsid w:val="00906F17"/>
    <w:rsid w:val="009111E4"/>
    <w:rsid w:val="0091658B"/>
    <w:rsid w:val="00916885"/>
    <w:rsid w:val="009173F5"/>
    <w:rsid w:val="009174F6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4CE8"/>
    <w:rsid w:val="00987C04"/>
    <w:rsid w:val="00987CC2"/>
    <w:rsid w:val="00990DA5"/>
    <w:rsid w:val="00991BE1"/>
    <w:rsid w:val="00993D72"/>
    <w:rsid w:val="00993F25"/>
    <w:rsid w:val="009942EB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A0458D"/>
    <w:rsid w:val="00A048D9"/>
    <w:rsid w:val="00A113B9"/>
    <w:rsid w:val="00A11F9A"/>
    <w:rsid w:val="00A12382"/>
    <w:rsid w:val="00A12A25"/>
    <w:rsid w:val="00A12C54"/>
    <w:rsid w:val="00A13223"/>
    <w:rsid w:val="00A150BA"/>
    <w:rsid w:val="00A15D01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4F1F"/>
    <w:rsid w:val="00A75DA4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D0EFB"/>
    <w:rsid w:val="00AD1853"/>
    <w:rsid w:val="00AD6CE9"/>
    <w:rsid w:val="00AD7319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75B7"/>
    <w:rsid w:val="00B17A47"/>
    <w:rsid w:val="00B202FF"/>
    <w:rsid w:val="00B229D2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138B"/>
    <w:rsid w:val="00B5446B"/>
    <w:rsid w:val="00B549F3"/>
    <w:rsid w:val="00B557C0"/>
    <w:rsid w:val="00B573CD"/>
    <w:rsid w:val="00B57B77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646D"/>
    <w:rsid w:val="00BD0F93"/>
    <w:rsid w:val="00BD1351"/>
    <w:rsid w:val="00BD173C"/>
    <w:rsid w:val="00BD3AF7"/>
    <w:rsid w:val="00BE3A42"/>
    <w:rsid w:val="00BE6282"/>
    <w:rsid w:val="00BE75E0"/>
    <w:rsid w:val="00BE788D"/>
    <w:rsid w:val="00BF091D"/>
    <w:rsid w:val="00BF3D2B"/>
    <w:rsid w:val="00BF4E0A"/>
    <w:rsid w:val="00BF51BA"/>
    <w:rsid w:val="00BF56AC"/>
    <w:rsid w:val="00BF5762"/>
    <w:rsid w:val="00BF6850"/>
    <w:rsid w:val="00BF75BB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26BC"/>
    <w:rsid w:val="00C560F7"/>
    <w:rsid w:val="00C625A4"/>
    <w:rsid w:val="00C70369"/>
    <w:rsid w:val="00C72CEA"/>
    <w:rsid w:val="00C813DF"/>
    <w:rsid w:val="00C81855"/>
    <w:rsid w:val="00C863A3"/>
    <w:rsid w:val="00C87546"/>
    <w:rsid w:val="00C90556"/>
    <w:rsid w:val="00C91C6C"/>
    <w:rsid w:val="00C91EA2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4A0D"/>
    <w:rsid w:val="00CD4C24"/>
    <w:rsid w:val="00CD4F82"/>
    <w:rsid w:val="00CD5094"/>
    <w:rsid w:val="00CE14B7"/>
    <w:rsid w:val="00CE1B5E"/>
    <w:rsid w:val="00CE70C1"/>
    <w:rsid w:val="00CF1F11"/>
    <w:rsid w:val="00D00AC6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6156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2DB8"/>
    <w:rsid w:val="00DB3D98"/>
    <w:rsid w:val="00DB3E1E"/>
    <w:rsid w:val="00DB3EE7"/>
    <w:rsid w:val="00DB62D9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962F8"/>
    <w:rsid w:val="00EA3850"/>
    <w:rsid w:val="00EA544F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23D8C"/>
    <w:rsid w:val="00F23E24"/>
    <w:rsid w:val="00F26F19"/>
    <w:rsid w:val="00F32351"/>
    <w:rsid w:val="00F348AB"/>
    <w:rsid w:val="00F3516A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2C67"/>
    <w:rsid w:val="00F745F1"/>
    <w:rsid w:val="00F74992"/>
    <w:rsid w:val="00F76781"/>
    <w:rsid w:val="00F87EAB"/>
    <w:rsid w:val="00F90D90"/>
    <w:rsid w:val="00FA2E13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634AD2-A2AF-40F9-BEB0-4367D691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5A1B-AFDA-4818-B6D5-CEEB5EB4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1980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3</cp:revision>
  <cp:lastPrinted>2018-12-11T20:01:00Z</cp:lastPrinted>
  <dcterms:created xsi:type="dcterms:W3CDTF">2018-12-11T20:03:00Z</dcterms:created>
  <dcterms:modified xsi:type="dcterms:W3CDTF">2018-12-12T18:57:00Z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