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B9" w:rsidRPr="006A45B9" w:rsidRDefault="006A45B9" w:rsidP="006A45B9">
      <w:pPr>
        <w:widowControl/>
        <w:suppressLineNumbers/>
        <w:spacing w:line="276" w:lineRule="auto"/>
        <w:jc w:val="center"/>
        <w:rPr>
          <w:rFonts w:ascii="Cambria" w:hAnsi="Cambria" w:cs="Times New Roman"/>
          <w:b/>
          <w:caps/>
          <w:sz w:val="24"/>
          <w:lang w:val="pt-BR"/>
        </w:rPr>
      </w:pPr>
      <w:r w:rsidRPr="006A45B9">
        <w:rPr>
          <w:rFonts w:ascii="Cambria" w:hAnsi="Cambria" w:cs="Times New Roman"/>
          <w:b/>
          <w:caps/>
          <w:sz w:val="24"/>
          <w:lang w:val="pt-BR"/>
        </w:rPr>
        <w:t>Conselho de Arquitetura e Urbanismo de Minas Gerais</w:t>
      </w:r>
    </w:p>
    <w:p w:rsidR="006A45B9" w:rsidRPr="006A45B9" w:rsidRDefault="006A45B9" w:rsidP="006A45B9">
      <w:pPr>
        <w:widowControl/>
        <w:suppressLineNumbers/>
        <w:spacing w:line="276" w:lineRule="auto"/>
        <w:jc w:val="center"/>
        <w:rPr>
          <w:rFonts w:ascii="Cambria" w:hAnsi="Cambria" w:cs="Times New Roman"/>
          <w:b/>
          <w:caps/>
          <w:sz w:val="28"/>
          <w:lang w:val="pt-BR"/>
        </w:rPr>
      </w:pPr>
      <w:r w:rsidRPr="006A45B9">
        <w:rPr>
          <w:rFonts w:ascii="Cambria" w:hAnsi="Cambria" w:cs="Times New Roman"/>
          <w:b/>
          <w:caps/>
          <w:sz w:val="28"/>
          <w:lang w:val="pt-BR"/>
        </w:rPr>
        <w:t>Comissão de Exercício Profissional</w:t>
      </w:r>
    </w:p>
    <w:p w:rsidR="006A45B9" w:rsidRPr="006A45B9" w:rsidRDefault="006A45B9" w:rsidP="006A45B9">
      <w:pPr>
        <w:widowControl/>
        <w:suppressLineNumbers/>
        <w:jc w:val="center"/>
        <w:rPr>
          <w:rFonts w:ascii="Cambria" w:hAnsi="Cambria" w:cs="Times New Roman"/>
          <w:b/>
          <w:caps/>
          <w:sz w:val="10"/>
          <w:szCs w:val="10"/>
          <w:lang w:val="pt-BR"/>
        </w:rPr>
      </w:pP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39"/>
      </w:tblGrid>
      <w:tr w:rsidR="006A45B9" w:rsidRPr="006A45B9" w:rsidTr="006A45B9">
        <w:trPr>
          <w:trHeight w:val="482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A45B9" w:rsidRPr="006A45B9" w:rsidRDefault="006A45B9" w:rsidP="001B5180">
            <w:pPr>
              <w:suppressLineNumbers/>
              <w:spacing w:line="259" w:lineRule="auto"/>
              <w:jc w:val="center"/>
              <w:rPr>
                <w:rFonts w:ascii="Cambria" w:hAnsi="Cambria" w:cs="Times New Roman"/>
                <w:b/>
                <w:caps/>
                <w:sz w:val="26"/>
                <w:szCs w:val="26"/>
              </w:rPr>
            </w:pPr>
            <w:r w:rsidRPr="006A45B9">
              <w:rPr>
                <w:rFonts w:ascii="Cambria" w:hAnsi="Cambria" w:cs="Times New Roman"/>
                <w:b/>
                <w:caps/>
                <w:sz w:val="26"/>
                <w:szCs w:val="26"/>
              </w:rPr>
              <w:t>Deliberação 0</w:t>
            </w:r>
            <w:r w:rsidR="001B5180">
              <w:rPr>
                <w:rFonts w:ascii="Cambria" w:hAnsi="Cambria" w:cs="Times New Roman"/>
                <w:b/>
                <w:caps/>
                <w:sz w:val="26"/>
                <w:szCs w:val="26"/>
              </w:rPr>
              <w:t>9</w:t>
            </w:r>
            <w:bookmarkStart w:id="0" w:name="_GoBack"/>
            <w:bookmarkEnd w:id="0"/>
            <w:r w:rsidRPr="006A45B9">
              <w:rPr>
                <w:rFonts w:ascii="Cambria" w:hAnsi="Cambria" w:cs="Times New Roman"/>
                <w:b/>
                <w:caps/>
                <w:sz w:val="26"/>
                <w:szCs w:val="26"/>
              </w:rPr>
              <w:t>/2016</w:t>
            </w:r>
          </w:p>
        </w:tc>
      </w:tr>
    </w:tbl>
    <w:p w:rsidR="006A45B9" w:rsidRPr="006A45B9" w:rsidRDefault="006A45B9" w:rsidP="006A45B9">
      <w:pPr>
        <w:widowControl/>
        <w:suppressLineNumbers/>
        <w:spacing w:line="276" w:lineRule="auto"/>
        <w:jc w:val="center"/>
        <w:rPr>
          <w:rFonts w:ascii="Cambria" w:hAnsi="Cambria" w:cs="Times New Roman"/>
          <w:b/>
          <w:caps/>
          <w:sz w:val="24"/>
          <w:lang w:val="pt-BR"/>
        </w:rPr>
      </w:pPr>
    </w:p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6A45B9" w:rsidRPr="001B5180" w:rsidTr="005F0A90">
        <w:trPr>
          <w:trHeight w:val="351"/>
          <w:jc w:val="center"/>
        </w:trPr>
        <w:tc>
          <w:tcPr>
            <w:tcW w:w="1843" w:type="dxa"/>
            <w:vAlign w:val="center"/>
          </w:tcPr>
          <w:p w:rsidR="006A45B9" w:rsidRPr="006A45B9" w:rsidRDefault="006A45B9" w:rsidP="00E13D5E">
            <w:pPr>
              <w:suppressLineNumbers/>
              <w:jc w:val="right"/>
              <w:rPr>
                <w:rFonts w:ascii="Cambria" w:hAnsi="Cambria" w:cs="Times New Roman"/>
                <w:caps/>
                <w:sz w:val="21"/>
                <w:szCs w:val="21"/>
              </w:rPr>
            </w:pPr>
            <w:r w:rsidRPr="006A45B9">
              <w:rPr>
                <w:rFonts w:ascii="Cambria" w:hAnsi="Cambria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6" w:type="dxa"/>
            <w:vAlign w:val="center"/>
          </w:tcPr>
          <w:p w:rsidR="006A45B9" w:rsidRPr="006A45B9" w:rsidRDefault="006A45B9" w:rsidP="00E13D5E">
            <w:pPr>
              <w:suppressLineNumbers/>
              <w:rPr>
                <w:rFonts w:ascii="Cambria" w:hAnsi="Cambria" w:cs="Times New Roman"/>
              </w:rPr>
            </w:pPr>
            <w:r w:rsidRPr="006A45B9">
              <w:rPr>
                <w:rFonts w:ascii="Cambria" w:hAnsi="Cambria" w:cs="Times New Roman"/>
              </w:rPr>
              <w:t>Intervenções em registros de empresas equivocadamente inseridos no SICCAU</w:t>
            </w:r>
          </w:p>
        </w:tc>
      </w:tr>
      <w:tr w:rsidR="006A45B9" w:rsidRPr="001B5180" w:rsidTr="005F0A90">
        <w:trPr>
          <w:trHeight w:val="351"/>
          <w:jc w:val="center"/>
        </w:trPr>
        <w:tc>
          <w:tcPr>
            <w:tcW w:w="1843" w:type="dxa"/>
            <w:vAlign w:val="center"/>
          </w:tcPr>
          <w:p w:rsidR="006A45B9" w:rsidRPr="006A45B9" w:rsidRDefault="006A45B9" w:rsidP="00E13D5E">
            <w:pPr>
              <w:suppressLineNumbers/>
              <w:jc w:val="right"/>
              <w:rPr>
                <w:rFonts w:ascii="Cambria" w:hAnsi="Cambria" w:cs="Times New Roman"/>
                <w:caps/>
                <w:sz w:val="21"/>
                <w:szCs w:val="21"/>
              </w:rPr>
            </w:pPr>
            <w:r w:rsidRPr="006A45B9">
              <w:rPr>
                <w:rFonts w:ascii="Cambria" w:hAnsi="Cambria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6" w:type="dxa"/>
            <w:vAlign w:val="center"/>
          </w:tcPr>
          <w:p w:rsidR="006A45B9" w:rsidRPr="006A45B9" w:rsidRDefault="006A45B9" w:rsidP="00E13D5E">
            <w:pPr>
              <w:suppressLineNumbers/>
              <w:rPr>
                <w:rFonts w:ascii="Cambria" w:hAnsi="Cambria" w:cs="Times New Roman"/>
              </w:rPr>
            </w:pPr>
            <w:r w:rsidRPr="006A45B9">
              <w:rPr>
                <w:rFonts w:ascii="Cambria" w:hAnsi="Cambria" w:cs="Times New Roman"/>
              </w:rPr>
              <w:t>Setor de Registro de Atualização Cadastral de Empresas da Gerência Técnica</w:t>
            </w:r>
          </w:p>
        </w:tc>
      </w:tr>
      <w:tr w:rsidR="006A45B9" w:rsidRPr="006A45B9" w:rsidTr="005F0A90">
        <w:trPr>
          <w:trHeight w:val="351"/>
          <w:jc w:val="center"/>
        </w:trPr>
        <w:tc>
          <w:tcPr>
            <w:tcW w:w="1843" w:type="dxa"/>
            <w:vAlign w:val="center"/>
          </w:tcPr>
          <w:p w:rsidR="006A45B9" w:rsidRPr="006A45B9" w:rsidRDefault="006A45B9" w:rsidP="00E13D5E">
            <w:pPr>
              <w:suppressLineNumbers/>
              <w:jc w:val="right"/>
              <w:rPr>
                <w:rFonts w:ascii="Cambria" w:hAnsi="Cambria" w:cs="Times New Roman"/>
                <w:caps/>
                <w:sz w:val="21"/>
                <w:szCs w:val="21"/>
              </w:rPr>
            </w:pPr>
            <w:r w:rsidRPr="006A45B9">
              <w:rPr>
                <w:rFonts w:ascii="Cambria" w:hAnsi="Cambria" w:cs="Times New Roman"/>
                <w:caps/>
                <w:sz w:val="21"/>
                <w:szCs w:val="21"/>
              </w:rPr>
              <w:t>data:</w:t>
            </w:r>
          </w:p>
        </w:tc>
        <w:tc>
          <w:tcPr>
            <w:tcW w:w="7796" w:type="dxa"/>
            <w:vAlign w:val="center"/>
          </w:tcPr>
          <w:p w:rsidR="006A45B9" w:rsidRPr="006A45B9" w:rsidRDefault="00402F14" w:rsidP="00402F14">
            <w:pPr>
              <w:suppressLineNumbers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30</w:t>
            </w:r>
            <w:r w:rsidR="006A45B9" w:rsidRPr="006A45B9">
              <w:rPr>
                <w:rFonts w:ascii="Cambria" w:hAnsi="Cambria" w:cs="Times New Roman"/>
              </w:rPr>
              <w:t>/</w:t>
            </w:r>
            <w:r>
              <w:rPr>
                <w:rFonts w:ascii="Cambria" w:hAnsi="Cambria" w:cs="Times New Roman"/>
              </w:rPr>
              <w:t>09</w:t>
            </w:r>
            <w:r w:rsidR="006A45B9" w:rsidRPr="006A45B9">
              <w:rPr>
                <w:rFonts w:ascii="Cambria" w:hAnsi="Cambria" w:cs="Times New Roman"/>
              </w:rPr>
              <w:t>/2016</w:t>
            </w:r>
          </w:p>
        </w:tc>
      </w:tr>
    </w:tbl>
    <w:p w:rsidR="006A45B9" w:rsidRPr="006A45B9" w:rsidRDefault="006A45B9" w:rsidP="006A45B9">
      <w:pPr>
        <w:widowControl/>
        <w:suppressLineNumbers/>
        <w:jc w:val="both"/>
        <w:rPr>
          <w:rFonts w:ascii="Cambria" w:hAnsi="Cambria" w:cs="Times New Roman"/>
          <w:lang w:val="pt-BR"/>
        </w:rPr>
      </w:pPr>
    </w:p>
    <w:p w:rsidR="006A45B9" w:rsidRPr="006A45B9" w:rsidRDefault="006A45B9" w:rsidP="006A45B9">
      <w:pPr>
        <w:widowControl/>
        <w:suppressLineNumbers/>
        <w:spacing w:after="160" w:line="276" w:lineRule="auto"/>
        <w:jc w:val="both"/>
        <w:rPr>
          <w:rFonts w:ascii="Cambria" w:hAnsi="Cambria" w:cs="Times New Roman"/>
          <w:b/>
          <w:lang w:val="pt-BR"/>
        </w:rPr>
      </w:pPr>
      <w:r w:rsidRPr="006A45B9">
        <w:rPr>
          <w:rFonts w:ascii="Cambria" w:hAnsi="Cambria" w:cs="Times New Roman"/>
          <w:b/>
          <w:lang w:val="pt-BR"/>
        </w:rPr>
        <w:t>RELATÓRIO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 xml:space="preserve">Trata-se de definição de providências a adotar na auditoria em curso no Setor de Registro de Atualização Cadastral de Empresas da Gerência Técnica (TEC-RG-EMP). 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Dada diversidade de situações cadastrais encontradas no processo de auditoria, faz-se necessário estabelecer os critérios a serem adotados defronte a cada uma delas, visando a regularização do rol de registros de Minas Gerais no SICCAU.</w:t>
      </w:r>
    </w:p>
    <w:p w:rsidR="006A45B9" w:rsidRPr="006A45B9" w:rsidRDefault="006A45B9" w:rsidP="006A45B9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color w:val="FF0000"/>
          <w:lang w:val="pt-BR"/>
        </w:rPr>
      </w:pPr>
    </w:p>
    <w:p w:rsidR="006A45B9" w:rsidRPr="006A45B9" w:rsidRDefault="006A45B9" w:rsidP="006A45B9">
      <w:pPr>
        <w:widowControl/>
        <w:suppressLineNumbers/>
        <w:spacing w:after="160" w:line="276" w:lineRule="auto"/>
        <w:jc w:val="both"/>
        <w:rPr>
          <w:rFonts w:ascii="Cambria" w:hAnsi="Cambria" w:cs="Times New Roman"/>
          <w:b/>
          <w:lang w:val="pt-BR"/>
        </w:rPr>
      </w:pPr>
      <w:r w:rsidRPr="006A45B9">
        <w:rPr>
          <w:rFonts w:ascii="Cambria" w:hAnsi="Cambria" w:cs="Times New Roman"/>
          <w:b/>
          <w:lang w:val="pt-BR"/>
        </w:rPr>
        <w:t>FUNDAMENTAÇÃO LEGAL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Lei Federal nº 9.784, de 29 de dezembro de 1999, que regula o processo administrativo no âmbito da Administração Pública Federal.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 xml:space="preserve">Lei Federal 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A45B9">
        <w:rPr>
          <w:rFonts w:ascii="Cambria" w:hAnsi="Cambria" w:cs="Times New Roman"/>
          <w:lang w:val="pt-BR"/>
        </w:rPr>
        <w:t>CAUs</w:t>
      </w:r>
      <w:proofErr w:type="spellEnd"/>
      <w:r w:rsidRPr="006A45B9">
        <w:rPr>
          <w:rFonts w:ascii="Cambria" w:hAnsi="Cambria" w:cs="Times New Roman"/>
          <w:lang w:val="pt-BR"/>
        </w:rPr>
        <w:t>; e dá outras providências;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Resolução nº 28 do CAU/BR, de 06 de julho de 2012, que dispõe sobre o registro e sobre a alteração e a baixa de registro de pessoa jurídica de Arquitetura e Urbanismo nos Conselhos de Arquitetura e Urbanismo dos Estados e do Distrito Federal e dá outras providências;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Resolução nº 48 do CAU/BR, de 09 de maio de 2013, que dispõe sobre a atualização cadastral do registro de pessoa jurídica nos Conselhos de Arquitetura e Urbanismo dos Estados e do Distrito Federal, e dá outras providências.</w:t>
      </w:r>
    </w:p>
    <w:p w:rsidR="006A45B9" w:rsidRPr="006A45B9" w:rsidRDefault="006A45B9" w:rsidP="006A45B9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lang w:val="pt-BR"/>
        </w:rPr>
      </w:pPr>
    </w:p>
    <w:p w:rsidR="006A45B9" w:rsidRPr="006A45B9" w:rsidRDefault="006A45B9" w:rsidP="006A45B9">
      <w:pPr>
        <w:widowControl/>
        <w:suppressLineNumbers/>
        <w:spacing w:after="160" w:line="276" w:lineRule="auto"/>
        <w:jc w:val="both"/>
        <w:rPr>
          <w:rFonts w:ascii="Cambria" w:hAnsi="Cambria" w:cs="Times New Roman"/>
          <w:b/>
          <w:lang w:val="pt-BR"/>
        </w:rPr>
      </w:pPr>
      <w:r w:rsidRPr="006A45B9">
        <w:rPr>
          <w:rFonts w:ascii="Cambria" w:hAnsi="Cambria" w:cs="Times New Roman"/>
          <w:b/>
          <w:lang w:val="pt-BR"/>
        </w:rPr>
        <w:t>FUNDAMENTAÇÃO TEMÁTICA</w:t>
      </w:r>
    </w:p>
    <w:p w:rsidR="006A45B9" w:rsidRPr="006A45B9" w:rsidRDefault="006A45B9" w:rsidP="006A45B9">
      <w:pPr>
        <w:widowControl/>
        <w:spacing w:after="160" w:line="259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Considerando os princípios que regem o processo administrativo, estabelecidos pelo Art. 2º da Lei Federal nº 9.784/1999, dentre eles, e principalmente, o da finalidade, o da motivação e o da legalidade;</w:t>
      </w:r>
    </w:p>
    <w:p w:rsidR="006A45B9" w:rsidRPr="006A45B9" w:rsidRDefault="006A45B9" w:rsidP="006A45B9">
      <w:pPr>
        <w:widowControl/>
        <w:spacing w:after="160" w:line="259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Considerando o Art. 53 da Lei Federal nº 9.784/1999, onde se expressa que “</w:t>
      </w:r>
      <w:r w:rsidRPr="006A45B9">
        <w:rPr>
          <w:rFonts w:ascii="Cambria" w:hAnsi="Cambria" w:cs="Times New Roman"/>
          <w:i/>
          <w:lang w:val="pt-BR"/>
        </w:rPr>
        <w:t>a Administração deve anular seus próprios atos, quando eivados de vício de legalidade, e pode revogá-los por motivo de conveniência ou oportunidade, respeitados os direitos adquiridos”</w:t>
      </w:r>
      <w:r w:rsidRPr="006A45B9">
        <w:rPr>
          <w:rFonts w:ascii="Cambria" w:hAnsi="Cambria" w:cs="Times New Roman"/>
          <w:lang w:val="pt-BR"/>
        </w:rPr>
        <w:t>.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Considerando o Art. 34, inciso V da Lei Federal nº 12.378/2010, que atribui aos CAU/UF “</w:t>
      </w:r>
      <w:r w:rsidRPr="006A45B9">
        <w:rPr>
          <w:rFonts w:ascii="Cambria" w:hAnsi="Cambria" w:cs="Times New Roman"/>
          <w:i/>
          <w:lang w:val="pt-BR"/>
        </w:rPr>
        <w:t>realizar as inscrições e expedir as carteiras de identificação de profissionais e pessoas jurídicas habilitadas, na forma desta Lei, para exercerem atividades de arquitetura e urbanismo, mantendo o cadastro atualizado</w:t>
      </w:r>
      <w:r w:rsidRPr="006A45B9">
        <w:rPr>
          <w:rFonts w:ascii="Cambria" w:hAnsi="Cambria" w:cs="Times New Roman"/>
          <w:lang w:val="pt-BR"/>
        </w:rPr>
        <w:t>”;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lastRenderedPageBreak/>
        <w:t>Considerando o Art. 1º da Resolução nº 28/2012, que elenca as os critérios de obrigatoriedade ou facultatividade de registro de pessoas jurídicas no CAU;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 xml:space="preserve">Considerando o </w:t>
      </w:r>
      <w:r w:rsidRPr="006A45B9">
        <w:rPr>
          <w:rFonts w:ascii="Cambria" w:hAnsi="Cambria" w:cs="Times New Roman"/>
          <w:i/>
          <w:lang w:val="pt-BR"/>
        </w:rPr>
        <w:t>caput</w:t>
      </w:r>
      <w:r w:rsidRPr="006A45B9">
        <w:rPr>
          <w:rFonts w:ascii="Cambria" w:hAnsi="Cambria" w:cs="Times New Roman"/>
          <w:lang w:val="pt-BR"/>
        </w:rPr>
        <w:t xml:space="preserve"> do Art. 3º da mesma resolução, que regulamenta a transferência dos registros de pessoas jurídicas do sistema CONFEA – CREA para o sistema CAU/BR – CAU/UF;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Considerando que a Resolução nº 48/2013 é o ato normativo que regulamenta o parágrafo único instrumento supracitado, elencando os critérios de regularidade e autenticidade dos registros junto ao SICCAU;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Considerando o Art. 5º Resolução nº 28/2012, que relaciona os documentos necessários para o registro regular de empresas no Conselho de Arquitetura e Urbanismo;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Considerando que a Resolução nº 48/2013 fixa os procedimentos para a atualização cadastral do registro de pessoa jurídica nos Conselhos de Arquitetura e Urbanismo dos Estados e do Distrito Federal (CAU/UF), nos termos da Lei n° 12.378, de 31 de dezembro de 2010, e da Resolução CAU/BR n° 28, de 6 de julho de 2012;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Considerando os critérios de autenticidade, tanto para requerimento da atualização cadastral, segundo parágrafo único do Art. 3º, quanto para o requerimento de novo registro, segundo Art. 7º da Resolução nº 48/2013;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Considerando o Art. 4º Resolução nº 48/2013, que outorga os prazos para que a pessoa jurídica solicite a atualização cadastral junto aos CAU/UF relativo à sua sede, bem como estabelece restrições à atuação técnica em caso de descumprimento;</w:t>
      </w:r>
    </w:p>
    <w:p w:rsidR="006A45B9" w:rsidRPr="006A45B9" w:rsidRDefault="006A45B9" w:rsidP="006A45B9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Considerando que o Art. 6º do mesmo instrumento normativo comina aos CAU/UF a obrigação em informar às pessoas jurídicas, registradas sob sua jurisdição, a necessidade de cumprimento da atualização cadastral;</w:t>
      </w:r>
    </w:p>
    <w:p w:rsidR="006A45B9" w:rsidRPr="006A45B9" w:rsidRDefault="006A45B9" w:rsidP="006A45B9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lang w:val="pt-BR"/>
        </w:rPr>
      </w:pPr>
    </w:p>
    <w:p w:rsidR="006A45B9" w:rsidRPr="006A45B9" w:rsidRDefault="006A45B9" w:rsidP="006A45B9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lang w:val="pt-BR"/>
        </w:rPr>
      </w:pPr>
      <w:r w:rsidRPr="006A45B9">
        <w:rPr>
          <w:rFonts w:ascii="Cambria" w:hAnsi="Cambria" w:cs="Times New Roman"/>
          <w:b/>
          <w:lang w:val="pt-BR"/>
        </w:rPr>
        <w:t>DELIBERAÇÃO</w:t>
      </w:r>
    </w:p>
    <w:p w:rsidR="006A45B9" w:rsidRPr="006A45B9" w:rsidRDefault="006A45B9" w:rsidP="006A45B9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5B5323" w:rsidRPr="005B5323" w:rsidRDefault="006A45B9" w:rsidP="005B5323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 xml:space="preserve">Visando </w:t>
      </w:r>
      <w:r w:rsidR="005B5323" w:rsidRPr="005B5323">
        <w:rPr>
          <w:rFonts w:ascii="Cambria" w:hAnsi="Cambria" w:cs="Times New Roman"/>
          <w:lang w:val="pt-BR"/>
        </w:rPr>
        <w:t>regularizar as situações cadastrais de pessoas jurídicas junto ao SICCAU, legitimando os registros efetuados em conformidade com os instrumentos legais supracitados, e corrigindo as distorções encontradas no rol de pessoas jurídicas cadastradas junto ao CAU/MG no SICCAU, a Comissão de Exercício Profissional delibera:</w:t>
      </w:r>
    </w:p>
    <w:p w:rsidR="005B5323" w:rsidRDefault="005B5323" w:rsidP="005B5323">
      <w:pPr>
        <w:widowControl/>
        <w:suppressLineNumbers/>
        <w:spacing w:after="160" w:line="276" w:lineRule="auto"/>
        <w:ind w:left="284"/>
        <w:jc w:val="both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 xml:space="preserve">Art. 1º. </w:t>
      </w:r>
      <w:r w:rsidRPr="005B5323">
        <w:rPr>
          <w:rFonts w:ascii="Cambria" w:hAnsi="Cambria" w:cs="Times New Roman"/>
          <w:lang w:val="pt-BR"/>
        </w:rPr>
        <w:t>Quando, durante a auditagem, forem identificadas as situações elencadas abaixo em que os registros/cadastros de empresas tiverem sido equivocadamente inseridos no SICCAU, o Setor de Registro de Atualização Cadastral de Empresas da Gerência Técnica, procederá com as seguintes ações:</w:t>
      </w:r>
    </w:p>
    <w:p w:rsidR="006A45B9" w:rsidRPr="006A45B9" w:rsidRDefault="006A45B9" w:rsidP="006A45B9">
      <w:pPr>
        <w:widowControl/>
        <w:numPr>
          <w:ilvl w:val="0"/>
          <w:numId w:val="24"/>
        </w:numPr>
        <w:suppressLineNumbers/>
        <w:spacing w:after="160" w:line="276" w:lineRule="auto"/>
        <w:contextualSpacing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Manutenção dos cadastros sem registros, identificando os casos onde as empresas possuem obrigatoriedade de registro (segundo verificação dos objetivos sociais ou atividades econômicas registradas no CNPJ); ações futuras, da própria GERTEC ou da GERFIS; tratará de notificar as pessoas jurídicas para que passem a atuar regularmente;</w:t>
      </w:r>
    </w:p>
    <w:p w:rsidR="006A45B9" w:rsidRPr="006A45B9" w:rsidRDefault="006A45B9" w:rsidP="006A45B9">
      <w:pPr>
        <w:widowControl/>
        <w:suppressLineNumbers/>
        <w:spacing w:line="276" w:lineRule="auto"/>
        <w:ind w:left="1004"/>
        <w:contextualSpacing/>
        <w:jc w:val="both"/>
        <w:rPr>
          <w:rFonts w:ascii="Cambria" w:hAnsi="Cambria" w:cs="Times New Roman"/>
          <w:lang w:val="pt-BR"/>
        </w:rPr>
      </w:pPr>
    </w:p>
    <w:p w:rsidR="006A45B9" w:rsidRPr="006A45B9" w:rsidRDefault="006A45B9" w:rsidP="006A45B9">
      <w:pPr>
        <w:widowControl/>
        <w:numPr>
          <w:ilvl w:val="0"/>
          <w:numId w:val="24"/>
        </w:numPr>
        <w:suppressLineNumbers/>
        <w:spacing w:after="160" w:line="276" w:lineRule="auto"/>
        <w:contextualSpacing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Identificação dos registros efetuados em descordo com os atos normativos do CAU/BR, procedendo:</w:t>
      </w:r>
    </w:p>
    <w:p w:rsidR="006A45B9" w:rsidRDefault="00402F14" w:rsidP="006A45B9">
      <w:pPr>
        <w:widowControl/>
        <w:numPr>
          <w:ilvl w:val="1"/>
          <w:numId w:val="24"/>
        </w:numPr>
        <w:suppressLineNumbers/>
        <w:spacing w:after="160" w:line="276" w:lineRule="auto"/>
        <w:contextualSpacing/>
        <w:jc w:val="both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>À</w:t>
      </w:r>
      <w:r w:rsidR="006A45B9" w:rsidRPr="006A45B9">
        <w:rPr>
          <w:rFonts w:ascii="Cambria" w:hAnsi="Cambria" w:cs="Times New Roman"/>
          <w:lang w:val="pt-BR"/>
        </w:rPr>
        <w:t xml:space="preserve"> finalização de todos os registros inadequadamente migrados do CREA/MG ou efetuados pelo CAU, inserindo-se data de fim no SICCAU igual a data de inativação </w:t>
      </w:r>
      <w:r w:rsidR="006A45B9" w:rsidRPr="006A45B9">
        <w:rPr>
          <w:rFonts w:ascii="Cambria" w:hAnsi="Cambria" w:cs="Times New Roman"/>
          <w:lang w:val="pt-BR"/>
        </w:rPr>
        <w:lastRenderedPageBreak/>
        <w:t>da empresa junto ao Cadastro Nacional de Pessoas Jurídicas, caso fique constatado que a mesma não possua mais cadastro ativo quando foi migrada/registrada;</w:t>
      </w:r>
    </w:p>
    <w:p w:rsidR="00402F14" w:rsidRPr="00402F14" w:rsidRDefault="00402F14" w:rsidP="00402F14">
      <w:pPr>
        <w:pStyle w:val="PargrafodaLista"/>
        <w:widowControl/>
        <w:numPr>
          <w:ilvl w:val="1"/>
          <w:numId w:val="24"/>
        </w:numPr>
        <w:suppressLineNumbers/>
        <w:spacing w:line="276" w:lineRule="auto"/>
        <w:contextualSpacing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 xml:space="preserve">À </w:t>
      </w:r>
      <w:r w:rsidRPr="00402F14">
        <w:rPr>
          <w:rFonts w:ascii="Cambria" w:hAnsi="Cambria"/>
          <w:lang w:val="pt-BR"/>
        </w:rPr>
        <w:t>finalização dos registros inadequadamente migrados do CREA/MG ou efetuados pelo CAU</w:t>
      </w:r>
      <w:r>
        <w:rPr>
          <w:rFonts w:ascii="Cambria" w:hAnsi="Cambria"/>
          <w:lang w:val="pt-BR"/>
        </w:rPr>
        <w:t xml:space="preserve">, em cujos assentamentos não </w:t>
      </w:r>
      <w:r w:rsidR="00040A33">
        <w:rPr>
          <w:rFonts w:ascii="Cambria" w:hAnsi="Cambria"/>
          <w:lang w:val="pt-BR"/>
        </w:rPr>
        <w:t xml:space="preserve">se </w:t>
      </w:r>
      <w:r w:rsidR="00342589">
        <w:rPr>
          <w:rFonts w:ascii="Cambria" w:hAnsi="Cambria"/>
          <w:lang w:val="pt-BR"/>
        </w:rPr>
        <w:t>identificar</w:t>
      </w:r>
      <w:r>
        <w:rPr>
          <w:rFonts w:ascii="Cambria" w:hAnsi="Cambria"/>
          <w:lang w:val="pt-BR"/>
        </w:rPr>
        <w:t xml:space="preserve"> </w:t>
      </w:r>
      <w:r w:rsidRPr="00402F14">
        <w:rPr>
          <w:rFonts w:ascii="Cambria" w:hAnsi="Cambria"/>
          <w:lang w:val="pt-BR"/>
        </w:rPr>
        <w:t>movimentação no SICCAU</w:t>
      </w:r>
      <w:r w:rsidR="00342589">
        <w:rPr>
          <w:rFonts w:ascii="Cambria" w:hAnsi="Cambria"/>
          <w:lang w:val="pt-BR"/>
        </w:rPr>
        <w:t xml:space="preserve"> por parte da empresa;</w:t>
      </w:r>
    </w:p>
    <w:p w:rsidR="00342589" w:rsidRPr="00402F14" w:rsidRDefault="00402F14" w:rsidP="00342589">
      <w:pPr>
        <w:pStyle w:val="PargrafodaLista"/>
        <w:widowControl/>
        <w:numPr>
          <w:ilvl w:val="1"/>
          <w:numId w:val="24"/>
        </w:numPr>
        <w:suppressLineNumbers/>
        <w:spacing w:line="276" w:lineRule="auto"/>
        <w:contextualSpacing/>
        <w:rPr>
          <w:rFonts w:ascii="Cambria" w:hAnsi="Cambria"/>
          <w:lang w:val="pt-BR"/>
        </w:rPr>
      </w:pPr>
      <w:r>
        <w:rPr>
          <w:rFonts w:ascii="Cambria" w:hAnsi="Cambria" w:cs="Times New Roman"/>
          <w:lang w:val="pt-BR"/>
        </w:rPr>
        <w:t>À solicita</w:t>
      </w:r>
      <w:r w:rsidR="00040A33">
        <w:rPr>
          <w:rFonts w:ascii="Cambria" w:hAnsi="Cambria" w:cs="Times New Roman"/>
          <w:lang w:val="pt-BR"/>
        </w:rPr>
        <w:t>ção de documenta</w:t>
      </w:r>
      <w:r w:rsidR="00342589">
        <w:rPr>
          <w:rFonts w:ascii="Cambria" w:hAnsi="Cambria" w:cs="Times New Roman"/>
          <w:lang w:val="pt-BR"/>
        </w:rPr>
        <w:t xml:space="preserve">ção pendente, através de protocolo, e abertura de Evento de Atualização Cadastral no SICCAU, para pessoas jurídicas registradas sem protocolo, quando se identifica </w:t>
      </w:r>
      <w:r w:rsidR="00342589" w:rsidRPr="00402F14">
        <w:rPr>
          <w:rFonts w:ascii="Cambria" w:hAnsi="Cambria"/>
          <w:lang w:val="pt-BR"/>
        </w:rPr>
        <w:t>movimentação no SICCAU</w:t>
      </w:r>
      <w:r w:rsidR="00342589">
        <w:rPr>
          <w:rFonts w:ascii="Cambria" w:hAnsi="Cambria"/>
          <w:lang w:val="pt-BR"/>
        </w:rPr>
        <w:t xml:space="preserve"> por parte da empresa;</w:t>
      </w:r>
    </w:p>
    <w:p w:rsidR="00402F14" w:rsidRPr="008B5C08" w:rsidRDefault="008B5C08" w:rsidP="008B5C08">
      <w:pPr>
        <w:pStyle w:val="PargrafodaLista"/>
        <w:numPr>
          <w:ilvl w:val="1"/>
          <w:numId w:val="24"/>
        </w:numPr>
        <w:rPr>
          <w:rFonts w:ascii="Cambria" w:hAnsi="Cambria" w:cs="Times New Roman"/>
          <w:lang w:val="pt-BR"/>
        </w:rPr>
      </w:pPr>
      <w:r w:rsidRPr="008B5C08">
        <w:rPr>
          <w:rFonts w:ascii="Cambria" w:hAnsi="Cambria" w:cs="Times New Roman"/>
          <w:lang w:val="pt-BR"/>
        </w:rPr>
        <w:t xml:space="preserve">À solicitação de documentação pendente, através de protocolo, e abertura de Evento de Atualização Cadastral no SICCAU, para pessoas jurídicas registradas </w:t>
      </w:r>
      <w:r>
        <w:rPr>
          <w:rFonts w:ascii="Cambria" w:hAnsi="Cambria" w:cs="Times New Roman"/>
          <w:lang w:val="pt-BR"/>
        </w:rPr>
        <w:t>com</w:t>
      </w:r>
      <w:r w:rsidRPr="008B5C08">
        <w:rPr>
          <w:rFonts w:ascii="Cambria" w:hAnsi="Cambria" w:cs="Times New Roman"/>
          <w:lang w:val="pt-BR"/>
        </w:rPr>
        <w:t xml:space="preserve"> protocolo, </w:t>
      </w:r>
      <w:r>
        <w:rPr>
          <w:rFonts w:ascii="Cambria" w:hAnsi="Cambria" w:cs="Times New Roman"/>
          <w:lang w:val="pt-BR"/>
        </w:rPr>
        <w:t>porém sem a documentação normatizada pela Resolução nº 28/2012 do CAU/BR</w:t>
      </w:r>
      <w:r w:rsidRPr="008B5C08">
        <w:rPr>
          <w:rFonts w:ascii="Cambria" w:hAnsi="Cambria" w:cs="Times New Roman"/>
          <w:lang w:val="pt-BR"/>
        </w:rPr>
        <w:t>;</w:t>
      </w:r>
    </w:p>
    <w:p w:rsidR="006A45B9" w:rsidRPr="006A45B9" w:rsidRDefault="006A45B9" w:rsidP="006A45B9">
      <w:pPr>
        <w:widowControl/>
        <w:suppressLineNumbers/>
        <w:spacing w:line="276" w:lineRule="auto"/>
        <w:ind w:left="1724"/>
        <w:contextualSpacing/>
        <w:jc w:val="both"/>
        <w:rPr>
          <w:rFonts w:ascii="Cambria" w:hAnsi="Cambria" w:cs="Times New Roman"/>
          <w:lang w:val="pt-BR"/>
        </w:rPr>
      </w:pPr>
    </w:p>
    <w:p w:rsidR="006A45B9" w:rsidRPr="005B5323" w:rsidRDefault="006A45B9" w:rsidP="005B5323">
      <w:pPr>
        <w:pStyle w:val="PargrafodaLista"/>
        <w:numPr>
          <w:ilvl w:val="0"/>
          <w:numId w:val="24"/>
        </w:numPr>
        <w:rPr>
          <w:rFonts w:ascii="Cambria" w:hAnsi="Cambria" w:cs="Times New Roman"/>
          <w:lang w:val="pt-BR"/>
        </w:rPr>
      </w:pPr>
      <w:r w:rsidRPr="005B5323">
        <w:rPr>
          <w:rFonts w:ascii="Cambria" w:hAnsi="Cambria" w:cs="Times New Roman"/>
          <w:lang w:val="pt-BR"/>
        </w:rPr>
        <w:t xml:space="preserve">Promoção </w:t>
      </w:r>
      <w:r w:rsidR="005B5323" w:rsidRPr="005B5323">
        <w:rPr>
          <w:rFonts w:ascii="Cambria" w:hAnsi="Cambria" w:cs="Times New Roman"/>
          <w:lang w:val="pt-BR"/>
        </w:rPr>
        <w:t>das diligências que se fizerem necessárias, visando à regularidade cadastral, a todas as empresas em que sejam identificadas pendências em seu registro durante a auditagem;</w:t>
      </w:r>
    </w:p>
    <w:p w:rsidR="006A45B9" w:rsidRPr="006A45B9" w:rsidRDefault="006A45B9" w:rsidP="006A45B9">
      <w:pPr>
        <w:widowControl/>
        <w:suppressLineNumbers/>
        <w:spacing w:line="276" w:lineRule="auto"/>
        <w:ind w:left="1004"/>
        <w:contextualSpacing/>
        <w:jc w:val="both"/>
        <w:rPr>
          <w:rFonts w:ascii="Cambria" w:hAnsi="Cambria" w:cs="Times New Roman"/>
          <w:lang w:val="pt-BR"/>
        </w:rPr>
      </w:pPr>
    </w:p>
    <w:p w:rsidR="006A45B9" w:rsidRPr="006A45B9" w:rsidRDefault="006A45B9" w:rsidP="006A45B9">
      <w:pPr>
        <w:widowControl/>
        <w:numPr>
          <w:ilvl w:val="0"/>
          <w:numId w:val="24"/>
        </w:numPr>
        <w:suppressLineNumbers/>
        <w:spacing w:after="160" w:line="276" w:lineRule="auto"/>
        <w:contextualSpacing/>
        <w:jc w:val="both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>Manutenção dos registros regulares.</w:t>
      </w:r>
    </w:p>
    <w:p w:rsidR="006A45B9" w:rsidRPr="006A45B9" w:rsidRDefault="006A45B9" w:rsidP="006A45B9">
      <w:pPr>
        <w:widowControl/>
        <w:spacing w:after="160" w:line="259" w:lineRule="auto"/>
        <w:ind w:left="720"/>
        <w:contextualSpacing/>
        <w:rPr>
          <w:rFonts w:ascii="Cambria" w:hAnsi="Cambria" w:cs="Times New Roman"/>
          <w:lang w:val="pt-BR"/>
        </w:rPr>
      </w:pPr>
    </w:p>
    <w:p w:rsidR="006A45B9" w:rsidRDefault="005B5323" w:rsidP="006A45B9">
      <w:pPr>
        <w:widowControl/>
        <w:suppressLineNumbers/>
        <w:spacing w:line="276" w:lineRule="auto"/>
        <w:ind w:left="284"/>
        <w:jc w:val="both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 xml:space="preserve">Art. 2º. </w:t>
      </w:r>
      <w:r w:rsidR="006A45B9" w:rsidRPr="006A45B9">
        <w:rPr>
          <w:rFonts w:ascii="Cambria" w:hAnsi="Cambria" w:cs="Times New Roman"/>
          <w:lang w:val="pt-BR"/>
        </w:rPr>
        <w:t>Nas situações onde não se der a manutenção dos registros (circunstâncias listadas nos itens II e II acima), a operacionalização do aqui deliberado deve ser seguida da elaboração de protocolo no SICCAU, na página cadastral da pessoa jurídica em questão, onde deve estar explicitada as circunstâncias encontradas e as ações adotadas no caso específico.</w:t>
      </w:r>
    </w:p>
    <w:p w:rsidR="00477FCC" w:rsidRDefault="00477FCC" w:rsidP="006A45B9">
      <w:pPr>
        <w:widowControl/>
        <w:suppressLineNumbers/>
        <w:spacing w:line="276" w:lineRule="auto"/>
        <w:ind w:left="284"/>
        <w:jc w:val="both"/>
        <w:rPr>
          <w:rFonts w:ascii="Cambria" w:hAnsi="Cambria" w:cs="Times New Roman"/>
          <w:lang w:val="pt-BR"/>
        </w:rPr>
      </w:pPr>
    </w:p>
    <w:p w:rsidR="00477FCC" w:rsidRPr="00477FCC" w:rsidRDefault="005B5323" w:rsidP="006A45B9">
      <w:pPr>
        <w:widowControl/>
        <w:suppressLineNumbers/>
        <w:spacing w:line="276" w:lineRule="auto"/>
        <w:ind w:left="284"/>
        <w:jc w:val="both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 xml:space="preserve">Art. 3º. </w:t>
      </w:r>
      <w:r w:rsidR="00477FCC">
        <w:rPr>
          <w:rFonts w:ascii="Cambria" w:hAnsi="Cambria" w:cs="Times New Roman"/>
          <w:lang w:val="pt-BR"/>
        </w:rPr>
        <w:t xml:space="preserve">Este texto retifica a Deliberação nº 06, de 19 de abril de 2016, </w:t>
      </w:r>
      <w:r w:rsidR="00477FCC" w:rsidRPr="00477FCC">
        <w:rPr>
          <w:rFonts w:ascii="Cambria" w:hAnsi="Cambria"/>
          <w:lang w:val="pt-BR"/>
        </w:rPr>
        <w:t xml:space="preserve">revogando as disposições </w:t>
      </w:r>
      <w:r w:rsidR="00477FCC">
        <w:rPr>
          <w:rFonts w:ascii="Cambria" w:hAnsi="Cambria"/>
          <w:lang w:val="pt-BR"/>
        </w:rPr>
        <w:t xml:space="preserve">em </w:t>
      </w:r>
      <w:r w:rsidR="00477FCC" w:rsidRPr="00477FCC">
        <w:rPr>
          <w:rFonts w:ascii="Cambria" w:hAnsi="Cambria"/>
          <w:lang w:val="pt-BR"/>
        </w:rPr>
        <w:t>contrári</w:t>
      </w:r>
      <w:r w:rsidR="00477FCC">
        <w:rPr>
          <w:rFonts w:ascii="Cambria" w:hAnsi="Cambria"/>
          <w:lang w:val="pt-BR"/>
        </w:rPr>
        <w:t>o</w:t>
      </w:r>
      <w:r w:rsidR="00477FCC" w:rsidRPr="00477FCC">
        <w:rPr>
          <w:rFonts w:ascii="Cambria" w:hAnsi="Cambria"/>
          <w:lang w:val="pt-BR"/>
        </w:rPr>
        <w:t>, e entr</w:t>
      </w:r>
      <w:r w:rsidR="00477FCC">
        <w:rPr>
          <w:rFonts w:ascii="Cambria" w:hAnsi="Cambria"/>
          <w:lang w:val="pt-BR"/>
        </w:rPr>
        <w:t xml:space="preserve">a </w:t>
      </w:r>
      <w:r w:rsidR="00477FCC" w:rsidRPr="00477FCC">
        <w:rPr>
          <w:rFonts w:ascii="Cambria" w:hAnsi="Cambria"/>
          <w:lang w:val="pt-BR"/>
        </w:rPr>
        <w:t>em vigor</w:t>
      </w:r>
      <w:r w:rsidR="00477FCC">
        <w:rPr>
          <w:rFonts w:ascii="Cambria" w:hAnsi="Cambria"/>
          <w:lang w:val="pt-BR"/>
        </w:rPr>
        <w:t xml:space="preserve">, segundo o aqui versado, </w:t>
      </w:r>
      <w:r w:rsidR="00477FCC" w:rsidRPr="00477FCC">
        <w:rPr>
          <w:rFonts w:ascii="Cambria" w:hAnsi="Cambria"/>
          <w:lang w:val="pt-BR"/>
        </w:rPr>
        <w:t>nesta data</w:t>
      </w:r>
      <w:r w:rsidR="00477FCC">
        <w:rPr>
          <w:rFonts w:ascii="Cambria" w:hAnsi="Cambria"/>
          <w:lang w:val="pt-BR"/>
        </w:rPr>
        <w:t>.</w:t>
      </w:r>
    </w:p>
    <w:p w:rsidR="006A45B9" w:rsidRPr="006A45B9" w:rsidRDefault="006A45B9" w:rsidP="006A45B9">
      <w:pPr>
        <w:widowControl/>
        <w:suppressLineNumbers/>
        <w:spacing w:line="276" w:lineRule="auto"/>
        <w:ind w:left="284"/>
        <w:jc w:val="both"/>
        <w:rPr>
          <w:rFonts w:ascii="Cambria" w:hAnsi="Cambria" w:cs="Times New Roman"/>
          <w:lang w:val="pt-BR"/>
        </w:rPr>
      </w:pPr>
    </w:p>
    <w:p w:rsidR="006A45B9" w:rsidRPr="006A45B9" w:rsidRDefault="006A45B9" w:rsidP="006A45B9">
      <w:pPr>
        <w:widowControl/>
        <w:suppressLineNumbers/>
        <w:spacing w:line="276" w:lineRule="auto"/>
        <w:ind w:left="284"/>
        <w:jc w:val="right"/>
        <w:rPr>
          <w:rFonts w:ascii="Cambria" w:hAnsi="Cambria" w:cs="Times New Roman"/>
          <w:lang w:val="pt-BR"/>
        </w:rPr>
      </w:pPr>
      <w:r w:rsidRPr="006A45B9">
        <w:rPr>
          <w:rFonts w:ascii="Cambria" w:hAnsi="Cambria" w:cs="Times New Roman"/>
          <w:lang w:val="pt-BR"/>
        </w:rPr>
        <w:t xml:space="preserve">Belo Horizonte, </w:t>
      </w:r>
      <w:r w:rsidR="00402F14">
        <w:rPr>
          <w:rFonts w:ascii="Cambria" w:hAnsi="Cambria" w:cs="Times New Roman"/>
          <w:lang w:val="pt-BR"/>
        </w:rPr>
        <w:t>30</w:t>
      </w:r>
      <w:r w:rsidRPr="006A45B9">
        <w:rPr>
          <w:rFonts w:ascii="Cambria" w:hAnsi="Cambria" w:cs="Times New Roman"/>
          <w:lang w:val="pt-BR"/>
        </w:rPr>
        <w:t xml:space="preserve"> de </w:t>
      </w:r>
      <w:r w:rsidR="00402F14">
        <w:rPr>
          <w:rFonts w:ascii="Cambria" w:hAnsi="Cambria" w:cs="Times New Roman"/>
          <w:lang w:val="pt-BR"/>
        </w:rPr>
        <w:t>setembro</w:t>
      </w:r>
      <w:r w:rsidRPr="006A45B9">
        <w:rPr>
          <w:rFonts w:ascii="Cambria" w:hAnsi="Cambria" w:cs="Times New Roman"/>
          <w:lang w:val="pt-BR"/>
        </w:rPr>
        <w:t xml:space="preserve"> de 2016.</w:t>
      </w:r>
    </w:p>
    <w:p w:rsidR="006A45B9" w:rsidRPr="006A45B9" w:rsidRDefault="006A45B9" w:rsidP="006A45B9">
      <w:pPr>
        <w:widowControl/>
        <w:suppressLineNumbers/>
        <w:spacing w:line="276" w:lineRule="auto"/>
        <w:ind w:left="284"/>
        <w:jc w:val="right"/>
        <w:rPr>
          <w:rFonts w:ascii="Cambria" w:hAnsi="Cambria" w:cs="Times New Roman"/>
          <w:lang w:val="pt-BR"/>
        </w:rPr>
      </w:pPr>
    </w:p>
    <w:p w:rsidR="006A45B9" w:rsidRPr="006A45B9" w:rsidRDefault="006A45B9" w:rsidP="006A45B9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099"/>
        <w:gridCol w:w="1099"/>
        <w:gridCol w:w="1099"/>
        <w:gridCol w:w="2912"/>
      </w:tblGrid>
      <w:tr w:rsidR="006A45B9" w:rsidRPr="001B5180" w:rsidTr="006A45B9">
        <w:trPr>
          <w:trHeight w:val="566"/>
          <w:jc w:val="center"/>
        </w:trPr>
        <w:tc>
          <w:tcPr>
            <w:tcW w:w="10284" w:type="dxa"/>
            <w:gridSpan w:val="6"/>
            <w:shd w:val="clear" w:color="auto" w:fill="BFBFBF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6A45B9">
              <w:rPr>
                <w:rFonts w:ascii="Cambria" w:hAnsi="Cambria" w:cs="Times New Roman"/>
                <w:b/>
                <w:szCs w:val="20"/>
              </w:rPr>
              <w:t>COMISSÃO DE EXERCÍCIO PROFISSIONAL DO CAU/MG – VOTAÇÃO</w:t>
            </w:r>
          </w:p>
        </w:tc>
      </w:tr>
      <w:tr w:rsidR="006A45B9" w:rsidRPr="006A45B9" w:rsidTr="006A45B9">
        <w:trPr>
          <w:trHeight w:val="566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CONSELHEIRO(</w:t>
            </w:r>
            <w:proofErr w:type="gramEnd"/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A FAVOR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CONTRA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ABSTENÇÃO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PEDIDO</w:t>
            </w:r>
          </w:p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DE VISTAS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ASSINATURA</w:t>
            </w:r>
          </w:p>
        </w:tc>
      </w:tr>
      <w:tr w:rsidR="006A45B9" w:rsidRPr="001B5180" w:rsidTr="006A45B9">
        <w:trPr>
          <w:trHeight w:val="566"/>
          <w:jc w:val="center"/>
        </w:trPr>
        <w:tc>
          <w:tcPr>
            <w:tcW w:w="2977" w:type="dxa"/>
            <w:vAlign w:val="center"/>
          </w:tcPr>
          <w:p w:rsidR="006A45B9" w:rsidRPr="006A45B9" w:rsidRDefault="006A45B9" w:rsidP="006A45B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Júlio Guerra Torres</w:t>
            </w:r>
          </w:p>
          <w:p w:rsidR="006A45B9" w:rsidRPr="006A45B9" w:rsidRDefault="006A45B9" w:rsidP="006A45B9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sz w:val="17"/>
                <w:szCs w:val="17"/>
              </w:rPr>
              <w:t>Alberto Enrique D’Ávila Bravo (S)</w:t>
            </w:r>
          </w:p>
        </w:tc>
        <w:tc>
          <w:tcPr>
            <w:tcW w:w="1098" w:type="dxa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A45B9" w:rsidRPr="001B5180" w:rsidTr="006A45B9">
        <w:trPr>
          <w:trHeight w:val="566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Roberto Pereira Andrade</w:t>
            </w:r>
          </w:p>
          <w:p w:rsidR="006A45B9" w:rsidRPr="006A45B9" w:rsidRDefault="006A45B9" w:rsidP="006A45B9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Ariel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Luis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Lazzarin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A45B9" w:rsidRPr="001B5180" w:rsidTr="006A45B9">
        <w:trPr>
          <w:trHeight w:val="566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Rose Meire Romano</w:t>
            </w:r>
          </w:p>
          <w:p w:rsidR="006A45B9" w:rsidRPr="006A45B9" w:rsidRDefault="006A45B9" w:rsidP="006A45B9">
            <w:pPr>
              <w:rPr>
                <w:rFonts w:ascii="Cambria" w:hAnsi="Cambria" w:cs="Times New Roman"/>
                <w:sz w:val="17"/>
                <w:szCs w:val="17"/>
              </w:rPr>
            </w:pP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Mariella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de Pádua N.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Betzel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Lemke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A45B9" w:rsidRPr="006A45B9" w:rsidTr="006A45B9">
        <w:trPr>
          <w:trHeight w:val="566"/>
          <w:jc w:val="center"/>
        </w:trPr>
        <w:tc>
          <w:tcPr>
            <w:tcW w:w="6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5B9" w:rsidRPr="006A45B9" w:rsidRDefault="006A45B9" w:rsidP="006A45B9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proofErr w:type="gramStart"/>
            <w:r w:rsidRPr="006A45B9">
              <w:rPr>
                <w:rFonts w:ascii="Cambria" w:hAnsi="Cambria" w:cs="Times New Roman"/>
                <w:sz w:val="20"/>
                <w:szCs w:val="20"/>
              </w:rPr>
              <w:t>Coordenador(</w:t>
            </w:r>
            <w:proofErr w:type="gramEnd"/>
            <w:r w:rsidRPr="006A45B9">
              <w:rPr>
                <w:rFonts w:ascii="Cambria" w:hAnsi="Cambria" w:cs="Times New Roman"/>
                <w:sz w:val="20"/>
                <w:szCs w:val="20"/>
              </w:rPr>
              <w:t>a):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5B9" w:rsidRPr="006A45B9" w:rsidRDefault="006A45B9" w:rsidP="006A45B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6A45B9" w:rsidRPr="006A45B9" w:rsidRDefault="006A45B9" w:rsidP="006A45B9">
      <w:pPr>
        <w:widowControl/>
        <w:suppressLineNumbers/>
        <w:spacing w:after="160"/>
        <w:jc w:val="both"/>
        <w:rPr>
          <w:rFonts w:ascii="Cambria" w:hAnsi="Cambria" w:cs="Times New Roman"/>
          <w:lang w:val="pt-BR"/>
        </w:rPr>
      </w:pPr>
    </w:p>
    <w:p w:rsidR="007F7F3C" w:rsidRPr="007B58FE" w:rsidRDefault="007F7F3C" w:rsidP="00C72CEA">
      <w:pPr>
        <w:rPr>
          <w:rFonts w:asciiTheme="majorHAnsi" w:hAnsiTheme="majorHAnsi"/>
        </w:rPr>
      </w:pPr>
    </w:p>
    <w:sectPr w:rsidR="007F7F3C" w:rsidRPr="007B58FE" w:rsidSect="00342589">
      <w:headerReference w:type="default" r:id="rId8"/>
      <w:footerReference w:type="default" r:id="rId9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67310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EBEF16A" wp14:editId="7E4070AE">
          <wp:simplePos x="0" y="0"/>
          <wp:positionH relativeFrom="margin">
            <wp:posOffset>-709930</wp:posOffset>
          </wp:positionH>
          <wp:positionV relativeFrom="margin">
            <wp:posOffset>-913130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0A33"/>
    <w:rsid w:val="00047DD5"/>
    <w:rsid w:val="00054997"/>
    <w:rsid w:val="000B0760"/>
    <w:rsid w:val="000F3838"/>
    <w:rsid w:val="000F538A"/>
    <w:rsid w:val="00102BCC"/>
    <w:rsid w:val="00107335"/>
    <w:rsid w:val="001811CC"/>
    <w:rsid w:val="00182E2B"/>
    <w:rsid w:val="00191438"/>
    <w:rsid w:val="001A63D9"/>
    <w:rsid w:val="001B5180"/>
    <w:rsid w:val="001E790A"/>
    <w:rsid w:val="00254A9D"/>
    <w:rsid w:val="00266909"/>
    <w:rsid w:val="002E7999"/>
    <w:rsid w:val="00342589"/>
    <w:rsid w:val="003A3415"/>
    <w:rsid w:val="003C3452"/>
    <w:rsid w:val="003C6DE1"/>
    <w:rsid w:val="003D331E"/>
    <w:rsid w:val="003E6D01"/>
    <w:rsid w:val="00402F14"/>
    <w:rsid w:val="00452713"/>
    <w:rsid w:val="00456FC0"/>
    <w:rsid w:val="00477BE7"/>
    <w:rsid w:val="00477FCC"/>
    <w:rsid w:val="004E4C07"/>
    <w:rsid w:val="00542E03"/>
    <w:rsid w:val="00543310"/>
    <w:rsid w:val="005514F9"/>
    <w:rsid w:val="00561BF8"/>
    <w:rsid w:val="005B5323"/>
    <w:rsid w:val="005D1468"/>
    <w:rsid w:val="005F3D29"/>
    <w:rsid w:val="00601495"/>
    <w:rsid w:val="00626459"/>
    <w:rsid w:val="006A45B9"/>
    <w:rsid w:val="006C121A"/>
    <w:rsid w:val="006C7CF0"/>
    <w:rsid w:val="006D3E06"/>
    <w:rsid w:val="00712340"/>
    <w:rsid w:val="007509AB"/>
    <w:rsid w:val="00775760"/>
    <w:rsid w:val="007767A2"/>
    <w:rsid w:val="007B26D1"/>
    <w:rsid w:val="007B58FE"/>
    <w:rsid w:val="007D5854"/>
    <w:rsid w:val="007E22C9"/>
    <w:rsid w:val="007F461D"/>
    <w:rsid w:val="007F7F3C"/>
    <w:rsid w:val="008211CF"/>
    <w:rsid w:val="00894F54"/>
    <w:rsid w:val="008B5C08"/>
    <w:rsid w:val="008D4A78"/>
    <w:rsid w:val="009310B5"/>
    <w:rsid w:val="0093454B"/>
    <w:rsid w:val="00940C7F"/>
    <w:rsid w:val="00952FCF"/>
    <w:rsid w:val="00984CE8"/>
    <w:rsid w:val="00A70765"/>
    <w:rsid w:val="00AB6035"/>
    <w:rsid w:val="00B304EA"/>
    <w:rsid w:val="00B74695"/>
    <w:rsid w:val="00BA24DE"/>
    <w:rsid w:val="00BC0830"/>
    <w:rsid w:val="00C72CEA"/>
    <w:rsid w:val="00C813DF"/>
    <w:rsid w:val="00C87546"/>
    <w:rsid w:val="00C91EA2"/>
    <w:rsid w:val="00D20C72"/>
    <w:rsid w:val="00DA1E10"/>
    <w:rsid w:val="00E13D5E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4428CCC-C6CD-4100-A2AF-1E74355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0962-DFE1-408C-B71D-E48CAD7A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35</cp:revision>
  <cp:lastPrinted>2016-09-30T12:44:00Z</cp:lastPrinted>
  <dcterms:created xsi:type="dcterms:W3CDTF">2016-06-18T22:47:00Z</dcterms:created>
  <dcterms:modified xsi:type="dcterms:W3CDTF">2016-09-30T12:44:00Z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